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EAC">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DD3EAC">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DD3EAC">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DD3EAC">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DD3EAC">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DD3EAC">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DD3EAC">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DD3EAC">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DD3EAC">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DD3EAC">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DD3EAC">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DD3EAC">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DD3EAC">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DD3EAC">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DD3EAC">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DD3EAC">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DD3EAC">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DD3EAC">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DD3EAC">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DD3EAC">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DD3EAC">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DD3EAC">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DD3EAC">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DD3EAC">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DD3EAC">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DD3EAC">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DD3EAC">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DD3EAC">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DD3EAC">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DD3EAC">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DD3EAC">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DD3EAC">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DD3EAC">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DD3EAC">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DD3EAC">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DD3EAC">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DD3EAC">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DD3EAC">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DD3EAC">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DD3EAC">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DD3EAC">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DD3EAC">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DD3EAC">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DD3EAC">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DD3EAC">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DD3EAC">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233FB59C" w:rsidR="00093CA9" w:rsidRDefault="00557CE2" w:rsidP="00093CA9">
            <w:r w:rsidRPr="00557CE2">
              <w:t>Olaniwun Ajayi</w:t>
            </w:r>
            <w:r w:rsidR="009F65EB">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7A69E258" w:rsidR="00093CA9" w:rsidRDefault="00F1771C" w:rsidP="00093CA9">
            <w:r w:rsidRPr="00F1771C">
              <w:t>Nigerian Sustainable Banking Principles (Agriculture Sector Guideline)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F3F090D" w:rsidR="00093CA9" w:rsidRDefault="00DD3EAC" w:rsidP="00093CA9">
            <w:hyperlink r:id="rId19" w:history="1">
              <w:r w:rsidR="00AB5A15" w:rsidRPr="00AB5A15">
                <w:rPr>
                  <w:rStyle w:val="Hyperlink"/>
                </w:rPr>
                <w:t>Nigerian Sustainable Banking Principles (Agriculture Sector Guideline)</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493CFAEE" w:rsidR="00093CA9" w:rsidRDefault="003328D3"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1211FC8C" w:rsidR="00093CA9" w:rsidRDefault="0002480B"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885423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4F9E573B" w:rsidR="00093CA9" w:rsidRDefault="00F1771C"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272CD36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78A4DB47" w14:textId="77777777" w:rsidR="009F65EB" w:rsidRDefault="009F65EB" w:rsidP="00841398">
            <w:pPr>
              <w:jc w:val="both"/>
            </w:pPr>
            <w:r w:rsidRPr="009F65EB">
              <w:t xml:space="preserve">This </w:t>
            </w:r>
            <w:r>
              <w:t>policy too</w:t>
            </w:r>
            <w:r w:rsidRPr="009F65EB">
              <w:t xml:space="preserve"> has been designed to complement the Nigerian Sustainable Banking Principles whilst focusing on the agriculture sector</w:t>
            </w:r>
            <w:r>
              <w:t xml:space="preserve">. </w:t>
            </w:r>
          </w:p>
          <w:p w14:paraId="12115B81" w14:textId="6764B54B" w:rsidR="009F65EB" w:rsidRDefault="009F65EB" w:rsidP="00841398">
            <w:pPr>
              <w:jc w:val="both"/>
            </w:pPr>
            <w:r>
              <w:t>The objectives of the policy tool center on: a</w:t>
            </w:r>
            <w:r w:rsidRPr="009F65EB">
              <w:t>ssist</w:t>
            </w:r>
            <w:r>
              <w:t>ing</w:t>
            </w:r>
            <w:r w:rsidRPr="009F65EB">
              <w:t xml:space="preserve"> </w:t>
            </w:r>
            <w:r>
              <w:t>b</w:t>
            </w:r>
            <w:r w:rsidRPr="009F65EB">
              <w:t xml:space="preserve">anks in the identification and management of complex E&amp;S risks associated with the provision of financial products and services to the Nigerian agriculture sector; </w:t>
            </w:r>
            <w:r>
              <w:t>pr</w:t>
            </w:r>
            <w:r w:rsidRPr="009F65EB">
              <w:t>ovid</w:t>
            </w:r>
            <w:r>
              <w:t>ing</w:t>
            </w:r>
            <w:r w:rsidRPr="009F65EB">
              <w:t xml:space="preserve"> additional sector-specific guidance to supplement the Nigerian Sustainable Banking Principles Guidance Note;</w:t>
            </w:r>
            <w:r>
              <w:t xml:space="preserve"> e</w:t>
            </w:r>
            <w:r w:rsidRPr="009F65EB">
              <w:t>nsur</w:t>
            </w:r>
            <w:r>
              <w:t>ing</w:t>
            </w:r>
            <w:r w:rsidRPr="009F65EB">
              <w:t xml:space="preserve"> that </w:t>
            </w:r>
            <w:r>
              <w:t>b</w:t>
            </w:r>
            <w:r w:rsidRPr="009F65EB">
              <w:t xml:space="preserve">anks adopt relevant international standards and best practices in the management of E&amp;S risk; and </w:t>
            </w:r>
            <w:r>
              <w:t>s</w:t>
            </w:r>
            <w:r w:rsidRPr="009F65EB">
              <w:t>trategically position agriculture as an attractive, rewarding and sustainable business opportunity..</w:t>
            </w:r>
          </w:p>
          <w:p w14:paraId="18257824" w14:textId="15C0EE42" w:rsidR="00093CA9" w:rsidRDefault="00AB5A15" w:rsidP="00841398">
            <w:pPr>
              <w:jc w:val="both"/>
            </w:pPr>
            <w:r>
              <w:t>Moreso, t</w:t>
            </w:r>
            <w:r w:rsidR="00C359BD">
              <w:t xml:space="preserve">he policy tool also requires that Banks </w:t>
            </w:r>
            <w:r w:rsidR="00C359BD" w:rsidRPr="00C359BD">
              <w:t>develop processes to identify and invest in opportunitie</w:t>
            </w:r>
            <w:r w:rsidR="00C359BD">
              <w:t xml:space="preserve">s that promote </w:t>
            </w:r>
            <w:r w:rsidR="00C31E4A">
              <w:t>low-carbon</w:t>
            </w:r>
            <w:r w:rsidR="00C359BD">
              <w:t xml:space="preserve"> activities</w:t>
            </w:r>
            <w:r w:rsidR="00C31E4A">
              <w:t xml:space="preserve"> (</w:t>
            </w:r>
            <w:r w:rsidR="009F65EB">
              <w:t>climate-related</w:t>
            </w:r>
            <w:r w:rsidR="00C31E4A">
              <w:t>).</w:t>
            </w:r>
            <w:r>
              <w:t xml:space="preserve"> Further to this</w:t>
            </w:r>
            <w:r w:rsidR="00C31E4A">
              <w:t>, t</w:t>
            </w:r>
            <w:r w:rsidR="00C31E4A" w:rsidRPr="00C31E4A">
              <w:t>he Central Bank of Nigeria (CBN) directs full adoption and implementation of th</w:t>
            </w:r>
            <w:r w:rsidR="00C31E4A">
              <w:t>is</w:t>
            </w:r>
            <w:r w:rsidR="00C31E4A" w:rsidRPr="00C31E4A">
              <w:t xml:space="preserve"> </w:t>
            </w:r>
            <w:r w:rsidR="00C31E4A">
              <w:t xml:space="preserve">tool by </w:t>
            </w:r>
            <w:r w:rsidR="00C31E4A" w:rsidRPr="00C31E4A">
              <w:t>banks discount houses and development finance institutions and will provide incentives, as necessary</w:t>
            </w:r>
            <w:r w:rsidR="00C31E4A">
              <w:t xml:space="preserve">, </w:t>
            </w:r>
            <w:r w:rsidR="00C31E4A" w:rsidRPr="00C31E4A">
              <w:t>to those institutions that take concrete measures to embed the provisions of these principles and guidelines into their governance frameworks</w:t>
            </w:r>
            <w:r w:rsidR="00C31E4A">
              <w:t xml:space="preserve"> (</w:t>
            </w:r>
            <w:r w:rsidR="009F65EB">
              <w:t>p</w:t>
            </w:r>
            <w:r w:rsidR="00C31E4A">
              <w:t>rudential</w:t>
            </w:r>
            <w:r w:rsidR="0072238A">
              <w:t>)</w:t>
            </w:r>
            <w:r w:rsidR="00C31E4A" w:rsidRPr="00C31E4A">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0623C73" w:rsidR="00093CA9" w:rsidRDefault="00C31E4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2217D50F" w:rsidR="00093CA9" w:rsidRPr="00173D7C" w:rsidRDefault="00C31E4A" w:rsidP="00093CA9">
            <w:pPr>
              <w:rPr>
                <w:color w:val="000000" w:themeColor="text1"/>
              </w:rPr>
            </w:pPr>
            <w:r>
              <w:rPr>
                <w:color w:val="000000" w:themeColor="text1"/>
              </w:rPr>
              <w:t>2012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5AF09EBD" w:rsidR="00093CA9" w:rsidRDefault="000F47C3" w:rsidP="00093CA9">
            <w:r>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166CBAA" w:rsidR="00093CA9" w:rsidRPr="006B7B0D" w:rsidRDefault="000F47C3" w:rsidP="00093CA9">
            <w:r>
              <w:t>The Central Bank of Nigeria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F9FF320" w:rsidR="00093CA9" w:rsidRPr="006B7B0D" w:rsidRDefault="000F47C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163EFF93" w:rsidR="00093CA9" w:rsidRDefault="000F47C3"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7C672C5B" w14:textId="0CE35AEE" w:rsidR="008E631C" w:rsidRDefault="0072238A" w:rsidP="0072238A">
            <w:pPr>
              <w:keepNext/>
              <w:jc w:val="both"/>
              <w:rPr>
                <w:color w:val="000000" w:themeColor="text1"/>
              </w:rPr>
            </w:pPr>
            <w:r>
              <w:rPr>
                <w:color w:val="000000" w:themeColor="text1"/>
              </w:rPr>
              <w:t xml:space="preserve">It is important to first highlight that the </w:t>
            </w:r>
            <w:r w:rsidR="00A96AC6">
              <w:rPr>
                <w:color w:val="000000" w:themeColor="text1"/>
              </w:rPr>
              <w:t xml:space="preserve">policy tool has several components: 1. The CBN </w:t>
            </w:r>
            <w:r w:rsidR="00A96AC6" w:rsidRPr="00A96AC6">
              <w:rPr>
                <w:color w:val="000000" w:themeColor="text1"/>
              </w:rPr>
              <w:t>circular referenced FPR/DIR/CIR/GEN/01/</w:t>
            </w:r>
            <w:r w:rsidR="00DA62F2">
              <w:rPr>
                <w:color w:val="000000" w:themeColor="text1"/>
              </w:rPr>
              <w:t>33</w:t>
            </w:r>
            <w:r w:rsidR="008E631C">
              <w:rPr>
                <w:color w:val="000000" w:themeColor="text1"/>
              </w:rPr>
              <w:t xml:space="preserve"> (the Circular)</w:t>
            </w:r>
            <w:r w:rsidR="00A96AC6">
              <w:rPr>
                <w:color w:val="000000" w:themeColor="text1"/>
              </w:rPr>
              <w:t xml:space="preserve">; 2. The </w:t>
            </w:r>
            <w:r w:rsidR="00A96AC6" w:rsidRPr="00A96AC6">
              <w:rPr>
                <w:color w:val="000000" w:themeColor="text1"/>
              </w:rPr>
              <w:t>Nigerian Sustainable Banking Principles</w:t>
            </w:r>
            <w:r w:rsidR="00A96AC6">
              <w:rPr>
                <w:color w:val="000000" w:themeColor="text1"/>
              </w:rPr>
              <w:t xml:space="preserve"> </w:t>
            </w:r>
            <w:r w:rsidR="008E631C">
              <w:rPr>
                <w:color w:val="000000" w:themeColor="text1"/>
              </w:rPr>
              <w:t xml:space="preserve">(the Principles) </w:t>
            </w:r>
            <w:r w:rsidR="00A96AC6">
              <w:rPr>
                <w:color w:val="000000" w:themeColor="text1"/>
              </w:rPr>
              <w:t xml:space="preserve">3. The </w:t>
            </w:r>
            <w:r w:rsidR="00A96AC6" w:rsidRPr="00A96AC6">
              <w:rPr>
                <w:color w:val="000000" w:themeColor="text1"/>
              </w:rPr>
              <w:t>Nigerian Sustainable Banking Principles Guidance Note</w:t>
            </w:r>
            <w:r w:rsidR="008E631C">
              <w:rPr>
                <w:color w:val="000000" w:themeColor="text1"/>
              </w:rPr>
              <w:t xml:space="preserve"> (the Guidance Note)</w:t>
            </w:r>
            <w:r w:rsidR="00A96AC6">
              <w:rPr>
                <w:color w:val="000000" w:themeColor="text1"/>
              </w:rPr>
              <w:t xml:space="preserve">; and 4. The </w:t>
            </w:r>
            <w:r w:rsidR="00A96AC6" w:rsidRPr="00A96AC6">
              <w:rPr>
                <w:color w:val="000000" w:themeColor="text1"/>
              </w:rPr>
              <w:t>Nigerian Sustainable Banking Principles Agriculture Sector Guideline</w:t>
            </w:r>
            <w:r w:rsidR="00A96AC6">
              <w:rPr>
                <w:color w:val="000000" w:themeColor="text1"/>
              </w:rPr>
              <w:t xml:space="preserve"> </w:t>
            </w:r>
            <w:r w:rsidR="008E631C">
              <w:rPr>
                <w:color w:val="000000" w:themeColor="text1"/>
              </w:rPr>
              <w:t>(the Guidelines) (i</w:t>
            </w:r>
            <w:r w:rsidR="00A96AC6">
              <w:rPr>
                <w:color w:val="000000" w:themeColor="text1"/>
              </w:rPr>
              <w:t>nstructively, components 1-3 additionally apply to other sectors in the Nigerian economy</w:t>
            </w:r>
            <w:r w:rsidR="008E631C">
              <w:rPr>
                <w:color w:val="000000" w:themeColor="text1"/>
              </w:rPr>
              <w:t>, but the specific consideration for this review is its applicability in the agriculture sector)</w:t>
            </w:r>
            <w:r w:rsidR="00A96AC6">
              <w:rPr>
                <w:color w:val="000000" w:themeColor="text1"/>
              </w:rPr>
              <w:t>.</w:t>
            </w:r>
          </w:p>
          <w:p w14:paraId="68647A8E" w14:textId="02019927" w:rsidR="0072238A" w:rsidRDefault="008E631C" w:rsidP="0072238A">
            <w:pPr>
              <w:keepNext/>
              <w:jc w:val="both"/>
              <w:rPr>
                <w:color w:val="000000" w:themeColor="text1"/>
              </w:rPr>
            </w:pPr>
            <w:r>
              <w:rPr>
                <w:color w:val="000000" w:themeColor="text1"/>
              </w:rPr>
              <w:t>Components 1-3 are therefore</w:t>
            </w:r>
            <w:r w:rsidR="0072238A">
              <w:rPr>
                <w:color w:val="000000" w:themeColor="text1"/>
              </w:rPr>
              <w:t xml:space="preserve"> intended to be read conjunctively with </w:t>
            </w:r>
            <w:r>
              <w:rPr>
                <w:color w:val="000000" w:themeColor="text1"/>
              </w:rPr>
              <w:t xml:space="preserve">the </w:t>
            </w:r>
            <w:r w:rsidRPr="00A96AC6">
              <w:rPr>
                <w:color w:val="000000" w:themeColor="text1"/>
              </w:rPr>
              <w:t>Guideline</w:t>
            </w:r>
            <w:r>
              <w:rPr>
                <w:color w:val="000000" w:themeColor="text1"/>
              </w:rPr>
              <w:t>s.</w:t>
            </w:r>
            <w:r w:rsidR="0072238A">
              <w:rPr>
                <w:color w:val="000000" w:themeColor="text1"/>
              </w:rPr>
              <w:t xml:space="preserve"> </w:t>
            </w:r>
          </w:p>
          <w:p w14:paraId="473AB0F2" w14:textId="77777777" w:rsidR="0072238A" w:rsidRDefault="0072238A" w:rsidP="0072238A">
            <w:pPr>
              <w:keepNext/>
              <w:jc w:val="both"/>
              <w:rPr>
                <w:color w:val="000000" w:themeColor="text1"/>
              </w:rPr>
            </w:pPr>
            <w:r>
              <w:rPr>
                <w:color w:val="000000" w:themeColor="text1"/>
              </w:rPr>
              <w:t xml:space="preserve">In this light, </w:t>
            </w:r>
            <w:r w:rsidR="00E776B3">
              <w:rPr>
                <w:color w:val="000000" w:themeColor="text1"/>
              </w:rPr>
              <w:t xml:space="preserve">Principle </w:t>
            </w:r>
            <w:r w:rsidR="001C6314">
              <w:rPr>
                <w:color w:val="000000" w:themeColor="text1"/>
              </w:rPr>
              <w:t xml:space="preserve">9 </w:t>
            </w:r>
            <w:r w:rsidR="00E776B3">
              <w:rPr>
                <w:color w:val="000000" w:themeColor="text1"/>
              </w:rPr>
              <w:t>of t</w:t>
            </w:r>
            <w:r w:rsidR="000F47C3" w:rsidRPr="000F47C3">
              <w:rPr>
                <w:color w:val="000000" w:themeColor="text1"/>
              </w:rPr>
              <w:t xml:space="preserve">he </w:t>
            </w:r>
            <w:r w:rsidR="000F47C3">
              <w:rPr>
                <w:color w:val="000000" w:themeColor="text1"/>
              </w:rPr>
              <w:t xml:space="preserve">Guidance Note </w:t>
            </w:r>
            <w:r w:rsidR="00E776B3">
              <w:rPr>
                <w:color w:val="000000" w:themeColor="text1"/>
              </w:rPr>
              <w:t xml:space="preserve">provides that the CBN </w:t>
            </w:r>
            <w:r w:rsidR="00E776B3" w:rsidRPr="00E776B3">
              <w:rPr>
                <w:color w:val="000000" w:themeColor="text1"/>
              </w:rPr>
              <w:t xml:space="preserve">will regularly review and report on </w:t>
            </w:r>
            <w:r w:rsidR="00E776B3">
              <w:rPr>
                <w:color w:val="000000" w:themeColor="text1"/>
              </w:rPr>
              <w:t>the p</w:t>
            </w:r>
            <w:r w:rsidR="00E776B3" w:rsidRPr="00E776B3">
              <w:rPr>
                <w:color w:val="000000" w:themeColor="text1"/>
              </w:rPr>
              <w:t>rogress in meeting the</w:t>
            </w:r>
            <w:r w:rsidR="00E776B3">
              <w:rPr>
                <w:color w:val="000000" w:themeColor="text1"/>
              </w:rPr>
              <w:t xml:space="preserve"> Sustainable Banking</w:t>
            </w:r>
            <w:r w:rsidR="00E776B3" w:rsidRPr="00E776B3">
              <w:rPr>
                <w:color w:val="000000" w:themeColor="text1"/>
              </w:rPr>
              <w:t xml:space="preserve"> Principles </w:t>
            </w:r>
            <w:r w:rsidR="00E776B3">
              <w:rPr>
                <w:color w:val="000000" w:themeColor="text1"/>
              </w:rPr>
              <w:t>at th</w:t>
            </w:r>
            <w:r w:rsidR="00E776B3" w:rsidRPr="00E776B3">
              <w:rPr>
                <w:color w:val="000000" w:themeColor="text1"/>
              </w:rPr>
              <w:t xml:space="preserve">e individual </w:t>
            </w:r>
            <w:r w:rsidR="00E776B3" w:rsidRPr="00E776B3">
              <w:rPr>
                <w:color w:val="000000" w:themeColor="text1"/>
              </w:rPr>
              <w:lastRenderedPageBreak/>
              <w:t>institution and sector level.</w:t>
            </w:r>
            <w:r w:rsidR="00E776B3">
              <w:rPr>
                <w:color w:val="000000" w:themeColor="text1"/>
              </w:rPr>
              <w:t xml:space="preserve"> The Guidance Note further provides that each ban</w:t>
            </w:r>
            <w:r w:rsidR="001C6314">
              <w:rPr>
                <w:color w:val="000000" w:themeColor="text1"/>
              </w:rPr>
              <w:t xml:space="preserve">k shall develop a sustainable banking reporting framework. </w:t>
            </w:r>
          </w:p>
          <w:p w14:paraId="2C2128DB" w14:textId="3D8805A8" w:rsidR="00093CA9" w:rsidRPr="008017F9" w:rsidRDefault="001C6314" w:rsidP="0072238A">
            <w:pPr>
              <w:keepNext/>
              <w:jc w:val="both"/>
              <w:rPr>
                <w:color w:val="000000" w:themeColor="text1"/>
              </w:rPr>
            </w:pPr>
            <w:r>
              <w:rPr>
                <w:color w:val="000000" w:themeColor="text1"/>
              </w:rPr>
              <w:t xml:space="preserve">The </w:t>
            </w:r>
            <w:r w:rsidR="008E631C">
              <w:rPr>
                <w:color w:val="000000" w:themeColor="text1"/>
              </w:rPr>
              <w:t>i</w:t>
            </w:r>
            <w:r w:rsidR="00BD5783">
              <w:rPr>
                <w:color w:val="000000" w:themeColor="text1"/>
              </w:rPr>
              <w:t>ntroduction to the</w:t>
            </w:r>
            <w:r w:rsidR="008E631C">
              <w:rPr>
                <w:color w:val="000000" w:themeColor="text1"/>
              </w:rPr>
              <w:t xml:space="preserve"> Guidance</w:t>
            </w:r>
            <w:r w:rsidR="00BD5783">
              <w:rPr>
                <w:color w:val="000000" w:themeColor="text1"/>
              </w:rPr>
              <w:t xml:space="preserve"> </w:t>
            </w:r>
            <w:r w:rsidR="008E631C">
              <w:rPr>
                <w:color w:val="000000" w:themeColor="text1"/>
              </w:rPr>
              <w:t>N</w:t>
            </w:r>
            <w:r>
              <w:rPr>
                <w:color w:val="000000" w:themeColor="text1"/>
              </w:rPr>
              <w:t>ote also state</w:t>
            </w:r>
            <w:r w:rsidR="00BD5783">
              <w:rPr>
                <w:color w:val="000000" w:themeColor="text1"/>
              </w:rPr>
              <w:t>s</w:t>
            </w:r>
            <w:r>
              <w:rPr>
                <w:color w:val="000000" w:themeColor="text1"/>
              </w:rPr>
              <w:t xml:space="preserve"> that a</w:t>
            </w:r>
            <w:r w:rsidRPr="001C6314">
              <w:rPr>
                <w:color w:val="000000" w:themeColor="text1"/>
              </w:rPr>
              <w:t xml:space="preserve">ll </w:t>
            </w:r>
            <w:r w:rsidR="004F18B2">
              <w:rPr>
                <w:color w:val="000000" w:themeColor="text1"/>
              </w:rPr>
              <w:t>b</w:t>
            </w:r>
            <w:r w:rsidRPr="001C6314">
              <w:rPr>
                <w:color w:val="000000" w:themeColor="text1"/>
              </w:rPr>
              <w:t>anks</w:t>
            </w:r>
            <w:r w:rsidR="009320D7">
              <w:rPr>
                <w:color w:val="000000" w:themeColor="text1"/>
              </w:rPr>
              <w:t xml:space="preserve"> </w:t>
            </w:r>
            <w:r w:rsidR="004F18B2">
              <w:rPr>
                <w:color w:val="000000" w:themeColor="text1"/>
              </w:rPr>
              <w:t>must</w:t>
            </w:r>
            <w:r w:rsidRPr="001C6314">
              <w:rPr>
                <w:color w:val="000000" w:themeColor="text1"/>
              </w:rPr>
              <w:t xml:space="preserve"> issue an initial </w:t>
            </w:r>
            <w:r w:rsidR="008E631C">
              <w:rPr>
                <w:color w:val="000000" w:themeColor="text1"/>
              </w:rPr>
              <w:t>s</w:t>
            </w:r>
            <w:r w:rsidRPr="001C6314">
              <w:rPr>
                <w:color w:val="000000" w:themeColor="text1"/>
              </w:rPr>
              <w:t xml:space="preserve">ustainable </w:t>
            </w:r>
            <w:r w:rsidR="008E631C">
              <w:rPr>
                <w:color w:val="000000" w:themeColor="text1"/>
              </w:rPr>
              <w:t>b</w:t>
            </w:r>
            <w:r w:rsidRPr="001C6314">
              <w:rPr>
                <w:color w:val="000000" w:themeColor="text1"/>
              </w:rPr>
              <w:t>anking report detailing their respective Principles implementation progress</w:t>
            </w:r>
            <w:r w:rsidR="00EC344F">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5ABC3DF8" w:rsidR="00CF5268" w:rsidRDefault="008E631C"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02A2267E" w:rsidR="00CF5268" w:rsidRDefault="008E631C"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378730D9" w:rsidR="00CF5268" w:rsidRDefault="00B741EC"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21AB699F" w:rsidR="00CF5268" w:rsidRDefault="008E631C"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47FFB4EE" w:rsidR="00CF5268" w:rsidRDefault="008E631C"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37CCF9D6" w:rsidR="466E435B" w:rsidRDefault="008E631C"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4D994562" w:rsidR="00CF5268" w:rsidRDefault="008E631C"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C0794C0" w:rsidR="466E435B" w:rsidRDefault="008E631C"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19E23C8E" w:rsidR="466E435B" w:rsidRDefault="008E631C"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1739CCE9" w:rsidR="466E435B" w:rsidRDefault="008E631C"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1F76B866" w:rsidR="466E435B" w:rsidRDefault="008E631C"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509CA549" w:rsidR="00CF5268" w:rsidRDefault="0090594A"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288CEBE9" w:rsidR="00CF5268" w:rsidRDefault="008E631C"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185F2500" w:rsidR="004B2D74" w:rsidRDefault="00B741EC" w:rsidP="00DD3144">
            <w:r>
              <w:t>X</w:t>
            </w:r>
          </w:p>
        </w:tc>
        <w:tc>
          <w:tcPr>
            <w:tcW w:w="1447" w:type="dxa"/>
            <w:vAlign w:val="center"/>
          </w:tcPr>
          <w:p w14:paraId="39B51900" w14:textId="77777777" w:rsidR="004B2D74" w:rsidRDefault="004B2D74" w:rsidP="00DD3144"/>
        </w:tc>
        <w:tc>
          <w:tcPr>
            <w:tcW w:w="1447" w:type="dxa"/>
            <w:vAlign w:val="center"/>
          </w:tcPr>
          <w:p w14:paraId="6227ED99" w14:textId="41430EBB" w:rsidR="004B2D74" w:rsidRDefault="008E631C" w:rsidP="00DD3144">
            <w:r>
              <w:t>X</w:t>
            </w:r>
          </w:p>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4498E18B" w:rsidR="004B2D74" w:rsidRDefault="008E631C" w:rsidP="00DD3144">
            <w:r>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38116185" w:rsidR="004B2D74" w:rsidRDefault="008E631C" w:rsidP="00DD3144">
            <w:r>
              <w:t>X</w:t>
            </w:r>
          </w:p>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0DD704DC" w:rsidR="004B2D74" w:rsidRDefault="008E631C"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0CE221B9" w:rsidR="004B2D74" w:rsidRDefault="008E631C"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151B30B1" w:rsidR="004B2D74" w:rsidRDefault="00B741EC" w:rsidP="00DD3144">
            <w:r>
              <w:t>X</w:t>
            </w:r>
          </w:p>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4F27B8E9" w:rsidR="00C35794" w:rsidRDefault="00C35794" w:rsidP="00DD3144">
            <w:r>
              <w:t>If “Other” please clarify.</w:t>
            </w:r>
            <w:r w:rsidR="00B741EC">
              <w:t xml:space="preserve"> </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5F0B95B5" w:rsidR="00C35794" w:rsidRDefault="00B741EC" w:rsidP="00DD3144">
            <w:r>
              <w:t>D</w:t>
            </w:r>
            <w:r w:rsidRPr="00B741EC">
              <w:t xml:space="preserve">iscount houses and </w:t>
            </w:r>
            <w:r>
              <w:t>D</w:t>
            </w:r>
            <w:r w:rsidRPr="00B741EC">
              <w:t xml:space="preserve">evelopment </w:t>
            </w:r>
            <w:r>
              <w:t>F</w:t>
            </w:r>
            <w:r w:rsidRPr="00B741EC">
              <w:t xml:space="preserve">inance </w:t>
            </w:r>
            <w:r>
              <w:t>I</w:t>
            </w:r>
            <w:r w:rsidRPr="00B741EC">
              <w:t>nstitutions</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0B0E0C60" w:rsidR="00B536E6" w:rsidRDefault="009B3DD3" w:rsidP="00DD3144">
            <w:r>
              <w:t>X</w:t>
            </w:r>
          </w:p>
        </w:tc>
        <w:tc>
          <w:tcPr>
            <w:tcW w:w="1447" w:type="dxa"/>
            <w:vAlign w:val="center"/>
          </w:tcPr>
          <w:p w14:paraId="34055BA5" w14:textId="77777777" w:rsidR="00B536E6" w:rsidRDefault="00B536E6" w:rsidP="00DD3144"/>
        </w:tc>
        <w:tc>
          <w:tcPr>
            <w:tcW w:w="1447" w:type="dxa"/>
            <w:vAlign w:val="center"/>
          </w:tcPr>
          <w:p w14:paraId="34C6590C" w14:textId="26EC3DFF"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2A2E5492" w:rsidR="00B536E6" w:rsidRDefault="008E631C"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4E6F3EE1" w:rsidR="00B536E6" w:rsidRDefault="008E631C" w:rsidP="00DD3144">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CC0F6A" w:rsidR="00B536E6" w:rsidRDefault="008E631C" w:rsidP="00DD3144">
            <w:r>
              <w:t>X</w:t>
            </w: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5B780888" w:rsidR="00B536E6" w:rsidRDefault="008E631C"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50132B63" w:rsidR="00B536E6" w:rsidRDefault="008E631C"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0A74674F" w:rsidR="00B536E6" w:rsidRDefault="008E631C"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2EABFC38" w:rsidR="00B536E6" w:rsidRDefault="008E631C"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16F7C4DE" w:rsidR="00B536E6" w:rsidRDefault="008E631C"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3A4827EE" w:rsidR="00B536E6" w:rsidRDefault="008E631C"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7D30A089" w:rsidR="00B536E6" w:rsidRDefault="008E631C"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4D8BA81F" w:rsidR="00B536E6" w:rsidRDefault="008E631C"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01BD8CF3" w:rsidR="00B536E6" w:rsidRDefault="008E631C"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5FD4F807" w:rsidR="00B536E6" w:rsidRDefault="008E631C"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083C15C4" w:rsidR="00B536E6" w:rsidRDefault="008E631C"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041BB5EE" w:rsidR="00B536E6" w:rsidRDefault="008E631C"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361F2801" w:rsidR="00B536E6" w:rsidRDefault="008E631C"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644E7F36" w:rsidR="00B536E6" w:rsidRDefault="008E631C"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32731415" w:rsidR="00B536E6" w:rsidRDefault="008E631C"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03D63ED4" w:rsidR="00B536E6" w:rsidRDefault="008E631C"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4D34EC49" w:rsidR="00B536E6" w:rsidRDefault="008E631C"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025978E0" w:rsidR="00B536E6" w:rsidRDefault="008E631C"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72238A">
              <w:t>Describe</w:t>
            </w:r>
            <w:r w:rsidRPr="003577A4">
              <w:t xml:space="preserv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6B1C4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bookmarkStart w:id="4" w:name="_Hlk204072723"/>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bookmarkEnd w:id="4"/>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0F106DE8"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04550DB0" w:rsidR="00576ED8" w:rsidRDefault="008E631C" w:rsidP="00DD3144">
            <w:r>
              <w:t>X</w:t>
            </w:r>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446361D1" w:rsidR="00911F20" w:rsidRDefault="00BA68B5"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33AC77D4" w:rsidR="00C57511" w:rsidRPr="00FA0CF8" w:rsidRDefault="00BA68B5"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41FFB3DB" w:rsidR="00654950" w:rsidRDefault="00C54741" w:rsidP="0072238A">
            <w:pPr>
              <w:spacing w:line="276" w:lineRule="auto"/>
              <w:jc w:val="both"/>
              <w:rPr>
                <w:color w:val="000000" w:themeColor="text1"/>
              </w:rPr>
            </w:pPr>
            <w:r>
              <w:rPr>
                <w:color w:val="000000" w:themeColor="text1"/>
              </w:rPr>
              <w:t xml:space="preserve">The </w:t>
            </w:r>
            <w:r w:rsidR="001623C4">
              <w:rPr>
                <w:color w:val="000000" w:themeColor="text1"/>
              </w:rPr>
              <w:t>policy tool is being implemented. A survey of 18 banks in Nigeria, carried out by an accounting firm in 2017, showed that al</w:t>
            </w:r>
            <w:r w:rsidR="001623C4" w:rsidRPr="001623C4">
              <w:rPr>
                <w:color w:val="000000" w:themeColor="text1"/>
              </w:rPr>
              <w:t>l the respondent banks have developed an Environmental and Social (E&amp;S) framework to guide their sustainable banking activities and about 95% of them have implemented E&amp;S initiatives over the last three years.</w:t>
            </w:r>
            <w:r w:rsidR="001623C4">
              <w:rPr>
                <w:color w:val="000000" w:themeColor="text1"/>
              </w:rPr>
              <w:t xml:space="preserve"> </w:t>
            </w:r>
            <w:hyperlink r:id="rId20" w:history="1">
              <w:r w:rsidR="00894306">
                <w:rPr>
                  <w:rStyle w:val="Hyperlink"/>
                </w:rPr>
                <w:t>Sustainable Banking as a Driver for Growth - A Survey on Nigerian Banks</w:t>
              </w:r>
            </w:hyperlink>
            <w:r w:rsidR="001623C4">
              <w:rPr>
                <w:color w:val="000000" w:themeColor="text1"/>
              </w:rPr>
              <w:t>.</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437A58BA" w:rsidR="00654950" w:rsidRPr="00C57511" w:rsidRDefault="00CB1649" w:rsidP="00DD3144">
            <w:pPr>
              <w:rPr>
                <w:color w:val="000000" w:themeColor="text1"/>
              </w:rPr>
            </w:pPr>
            <w:r w:rsidRPr="00CB1649">
              <w:rPr>
                <w:color w:val="000000" w:themeColor="text1"/>
              </w:rPr>
              <w:t>If the case</w:t>
            </w:r>
            <w:r w:rsidR="001623C4">
              <w:rPr>
                <w:color w:val="000000" w:themeColor="text1"/>
              </w:rPr>
              <w:t xml:space="preserve"> of</w:t>
            </w:r>
            <w:r w:rsidRPr="00CB1649">
              <w:rPr>
                <w:color w:val="000000" w:themeColor="text1"/>
              </w:rPr>
              <w:t xml:space="preserve">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6F9DD8D9" w:rsidR="00CB1649" w:rsidRPr="00FA0CF8" w:rsidRDefault="001623C4"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6F5D8D82"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4A06D26A" w:rsidR="008063B5" w:rsidRDefault="009D2644"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30AB8FF"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5" w:name="_Toc198223603"/>
      <w:r>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667EBDB5" w:rsidR="00042406" w:rsidRDefault="00DD3ED9" w:rsidP="00DD3144">
            <w:r>
              <w:t>X</w:t>
            </w:r>
          </w:p>
        </w:tc>
        <w:tc>
          <w:tcPr>
            <w:tcW w:w="1440" w:type="dxa"/>
            <w:vAlign w:val="center"/>
          </w:tcPr>
          <w:p w14:paraId="7015C034" w14:textId="06181F8B"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AAD9D70" w:rsidR="00042406" w:rsidRDefault="007A5090"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720679C5" w:rsidR="00042406" w:rsidRDefault="00E4645C" w:rsidP="00DD3144">
            <w:r>
              <w:t>X</w:t>
            </w:r>
          </w:p>
        </w:tc>
        <w:tc>
          <w:tcPr>
            <w:tcW w:w="1440" w:type="dxa"/>
            <w:vAlign w:val="center"/>
          </w:tcPr>
          <w:p w14:paraId="78F2FEC9" w14:textId="1A34AE11"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2740BB05" w:rsidR="00042406" w:rsidRDefault="00DD3ED9" w:rsidP="00DD3144">
            <w:r>
              <w:t>X</w:t>
            </w:r>
          </w:p>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498C0E94" w:rsidR="00042406" w:rsidRDefault="00DD3ED9"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D6809BE" w:rsidR="00042406" w:rsidRDefault="00E4645C"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4C699F39"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1B4AA8A6" w:rsidR="00042406" w:rsidRDefault="00E4645C"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09E5036E"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lastRenderedPageBreak/>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31C1416B" w:rsidR="00B0479E" w:rsidRPr="00F75058" w:rsidRDefault="0090594A"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3F521E34" w:rsidR="00B0479E" w:rsidRPr="00F75058" w:rsidRDefault="0090594A"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7F4743C6" w:rsidR="00B0479E" w:rsidRPr="00F75058" w:rsidRDefault="0090594A"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8B763BD" w:rsidR="00B0479E" w:rsidRDefault="005959E7"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433521B8" w:rsidR="00B0479E" w:rsidRDefault="00E81794"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21E46F64" w:rsidR="00B0479E" w:rsidRDefault="0082767E" w:rsidP="00DD3144">
            <w:pPr>
              <w:rPr>
                <w:rFonts w:ascii="Calibri" w:hAnsi="Calibri" w:cs="Calibri"/>
              </w:rPr>
            </w:pPr>
            <w:r>
              <w:rPr>
                <w:rFonts w:ascii="Calibri" w:hAnsi="Calibri" w:cs="Calibri"/>
              </w:rPr>
              <w:t>X</w:t>
            </w: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6C58EE84" w:rsidR="00B0479E" w:rsidRDefault="00CC700E" w:rsidP="00DD3144">
            <w:pPr>
              <w:rPr>
                <w:rFonts w:ascii="Calibri" w:hAnsi="Calibri" w:cs="Calibri"/>
              </w:rPr>
            </w:pPr>
            <w:r>
              <w:rPr>
                <w:rFonts w:ascii="Calibri" w:hAnsi="Calibri" w:cs="Calibri"/>
              </w:rPr>
              <w:t>X</w:t>
            </w: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73ADC484"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087C07B5" w:rsidR="00B0479E" w:rsidRDefault="0012148C"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7CF8245B" w14:textId="77777777" w:rsidR="009315BB" w:rsidRDefault="00156104" w:rsidP="00DD3144">
            <w:pPr>
              <w:rPr>
                <w:rFonts w:ascii="Calibri" w:hAnsi="Calibri" w:cs="Calibri"/>
              </w:rPr>
            </w:pPr>
            <w:r>
              <w:rPr>
                <w:rFonts w:ascii="Calibri" w:hAnsi="Calibri" w:cs="Calibri"/>
              </w:rPr>
              <w:t>The policy tool provides for the d</w:t>
            </w:r>
            <w:r w:rsidRPr="00156104">
              <w:rPr>
                <w:rFonts w:ascii="Calibri" w:hAnsi="Calibri" w:cs="Calibri"/>
              </w:rPr>
              <w:t>evelopment of an E&amp;S footprint management program, including processes to manage the E&amp;S footprint of a Bank’s Business Operations</w:t>
            </w:r>
            <w:r w:rsidR="00CC700E">
              <w:rPr>
                <w:rFonts w:ascii="Calibri" w:hAnsi="Calibri" w:cs="Calibri"/>
              </w:rPr>
              <w:t>,</w:t>
            </w:r>
            <w:r w:rsidRPr="00156104">
              <w:rPr>
                <w:rFonts w:ascii="Calibri" w:hAnsi="Calibri" w:cs="Calibri"/>
              </w:rPr>
              <w:t xml:space="preserve"> </w:t>
            </w:r>
            <w:r>
              <w:rPr>
                <w:rFonts w:ascii="Calibri" w:hAnsi="Calibri" w:cs="Calibri"/>
              </w:rPr>
              <w:t xml:space="preserve">including </w:t>
            </w:r>
            <w:r w:rsidRPr="00156104">
              <w:rPr>
                <w:rFonts w:ascii="Calibri" w:hAnsi="Calibri" w:cs="Calibri"/>
              </w:rPr>
              <w:t xml:space="preserve">environmental issues relating to climate change, </w:t>
            </w:r>
            <w:r w:rsidR="00CC700E">
              <w:rPr>
                <w:rFonts w:ascii="Calibri" w:hAnsi="Calibri" w:cs="Calibri"/>
              </w:rPr>
              <w:t xml:space="preserve">and </w:t>
            </w:r>
            <w:r w:rsidRPr="00156104">
              <w:rPr>
                <w:rFonts w:ascii="Calibri" w:hAnsi="Calibri" w:cs="Calibri"/>
              </w:rPr>
              <w:t>greenhouse gas reduction</w:t>
            </w:r>
            <w:r w:rsidR="00CC700E">
              <w:rPr>
                <w:rFonts w:ascii="Calibri" w:hAnsi="Calibri" w:cs="Calibri"/>
              </w:rPr>
              <w:t>.</w:t>
            </w:r>
            <w:r w:rsidRPr="00156104">
              <w:rPr>
                <w:rFonts w:ascii="Calibri" w:hAnsi="Calibri" w:cs="Calibri"/>
              </w:rPr>
              <w:t xml:space="preserve"> </w:t>
            </w:r>
          </w:p>
          <w:p w14:paraId="39D4D3D6" w14:textId="5CFD5023" w:rsidR="00B0479E" w:rsidRDefault="007054F0" w:rsidP="00DD3144">
            <w:pPr>
              <w:rPr>
                <w:rFonts w:ascii="Calibri" w:hAnsi="Calibri" w:cs="Calibri"/>
              </w:rPr>
            </w:pPr>
            <w:r>
              <w:rPr>
                <w:rFonts w:ascii="Calibri" w:hAnsi="Calibri" w:cs="Calibri"/>
              </w:rPr>
              <w:t>H</w:t>
            </w:r>
            <w:r w:rsidR="00CC700E">
              <w:rPr>
                <w:rFonts w:ascii="Calibri" w:hAnsi="Calibri" w:cs="Calibri"/>
              </w:rPr>
              <w:t>owever</w:t>
            </w:r>
            <w:r>
              <w:rPr>
                <w:rFonts w:ascii="Calibri" w:hAnsi="Calibri" w:cs="Calibri"/>
              </w:rPr>
              <w:t>, this</w:t>
            </w:r>
            <w:r w:rsidR="00CC700E">
              <w:rPr>
                <w:rFonts w:ascii="Calibri" w:hAnsi="Calibri" w:cs="Calibri"/>
              </w:rPr>
              <w:t xml:space="preserve"> does not expressly specify </w:t>
            </w:r>
            <w:r w:rsidR="0072238A">
              <w:rPr>
                <w:rFonts w:ascii="Calibri" w:hAnsi="Calibri" w:cs="Calibri"/>
              </w:rPr>
              <w:t xml:space="preserve">the </w:t>
            </w:r>
            <w:r w:rsidR="00CC700E">
              <w:rPr>
                <w:rFonts w:ascii="Calibri" w:hAnsi="Calibri" w:cs="Calibri"/>
              </w:rPr>
              <w:t>disclosure of GHG emissions accounting methodologies.</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3961744C" w:rsidR="00B0479E" w:rsidRDefault="009007F6" w:rsidP="00DD3144">
            <w:r>
              <w:t xml:space="preserve">Principle 2 of the </w:t>
            </w:r>
            <w:r w:rsidR="0072238A">
              <w:t>policy tool</w:t>
            </w:r>
            <w:r>
              <w:t xml:space="preserve"> provides that the sector participants</w:t>
            </w:r>
            <w:r w:rsidRPr="009007F6">
              <w:t xml:space="preserve"> will avoid, minimise or offset the negative impacts of our Business Operations on the environment and local communities in which </w:t>
            </w:r>
            <w:r w:rsidR="0072238A">
              <w:t xml:space="preserve">they </w:t>
            </w:r>
            <w:r w:rsidRPr="009007F6">
              <w:t>operate and, where possible, promote positive impacts.</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AB74C9E"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15032E68"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3617F990"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068CB40E"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50CDE27A"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5EE43162"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347748F"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5764202"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174F8ABD"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24CEF87B"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lastRenderedPageBreak/>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155A5282" w:rsidR="00B0479E" w:rsidRDefault="0082767E" w:rsidP="00DD3144">
            <w:r>
              <w:t>X</w:t>
            </w:r>
          </w:p>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24894BF6" w:rsidR="00B0479E" w:rsidRDefault="00187326"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4233D3D0"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7986BB2B"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40C763E5"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C502B06"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2AAEF7E" w:rsidR="00B0479E" w:rsidRDefault="00586BF6" w:rsidP="00DD3144">
            <w: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0DF06884"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65D1DBCE"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3EEA6725"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183D334"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4DDB2E76" w:rsidR="00B0479E" w:rsidRDefault="00586BF6" w:rsidP="00DD3144">
            <w:r>
              <w:t>X</w:t>
            </w:r>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00D5A31C" w:rsidR="00B0479E" w:rsidRDefault="00F62028" w:rsidP="00DD3144">
            <w:r>
              <w:t>X</w:t>
            </w:r>
          </w:p>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EDF0DF7" w:rsidR="00B0479E" w:rsidRDefault="00F62028"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4390489B"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3EF7853A" w:rsidR="00B0479E" w:rsidRDefault="00483656"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38BEC7C1" w:rsidR="00B0479E" w:rsidRDefault="00483656" w:rsidP="00DD3144">
            <w:r>
              <w:t>X</w:t>
            </w:r>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51846344" w:rsidR="00B0479E" w:rsidRDefault="0072238A" w:rsidP="0072238A">
            <w:pPr>
              <w:jc w:val="both"/>
            </w:pPr>
            <w:r>
              <w:t xml:space="preserve">Guideline </w:t>
            </w:r>
            <w:r w:rsidR="00483656">
              <w:t xml:space="preserve">4 of the policy tool provides that </w:t>
            </w:r>
            <w:r w:rsidR="00483656" w:rsidRPr="00483656">
              <w:t>Conduct E&amp;S risk analysis and assessment of agricultural clients and activities, and ensure that identified risks are adequately monitored and managed</w:t>
            </w:r>
            <w:r w:rsidR="00483656">
              <w:t>. Table 1, Category 1, in the policy tool lists biodiversity loss and climate mitigation as an a</w:t>
            </w:r>
            <w:r w:rsidR="00483656" w:rsidRPr="00483656">
              <w:t xml:space="preserve">gribusiness </w:t>
            </w:r>
            <w:r w:rsidR="00483656">
              <w:t>p</w:t>
            </w:r>
            <w:r w:rsidR="00483656" w:rsidRPr="00483656">
              <w:t>otential E&amp;S Risks</w:t>
            </w:r>
            <w:r w:rsidR="00483656">
              <w:t xml:space="preserve">. </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368F6E" w:rsidR="00EC42A1" w:rsidRDefault="0072238A"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1BA6C73F" w:rsidR="00EC42A1" w:rsidRDefault="0072238A"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44C383DE" w:rsidR="00EC42A1" w:rsidRDefault="0072238A"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F0E9B8" w:rsidR="00484663" w:rsidRDefault="00B277F4"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2F430B77" w:rsidR="00484663" w:rsidRDefault="00B277F4"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3A1BA2FB" w:rsidR="00484663" w:rsidRDefault="00B277F4"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4CF9C00" w:rsidR="00DA416F" w:rsidRPr="00DD3144" w:rsidRDefault="009458F4"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6BA072A8" w:rsidR="00DA416F" w:rsidRPr="00DD3144" w:rsidRDefault="009458F4"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055B7BE3" w:rsidR="00DA416F" w:rsidRPr="00DD3144" w:rsidRDefault="009458F4"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21AC79D3" w:rsidR="00DA416F" w:rsidRPr="00DD3144" w:rsidRDefault="009458F4"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0CA5CA1" w:rsidR="00DA416F" w:rsidRPr="00DD3144" w:rsidRDefault="009458F4"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1E50898C" w:rsidR="00DA416F" w:rsidRPr="00DD3144" w:rsidRDefault="009458F4"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12B9797B" w:rsidR="00DA416F" w:rsidRPr="00DD3144" w:rsidRDefault="009458F4"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076314F" w:rsidR="00DA416F" w:rsidRPr="00DD3144" w:rsidRDefault="009458F4" w:rsidP="00DD3144">
            <w:pPr>
              <w:keepNext/>
              <w:rPr>
                <w:rFonts w:ascii="Calibri" w:hAnsi="Calibri" w:cs="Calibri"/>
              </w:rPr>
            </w:pPr>
            <w:r>
              <w:rPr>
                <w:rFonts w:ascii="Calibri" w:hAnsi="Calibri" w:cs="Calibri"/>
              </w:rPr>
              <w:t>X</w:t>
            </w: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014E8470" w:rsidR="00DA416F" w:rsidRPr="00DD3144" w:rsidRDefault="009458F4"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3C3B5CFB" w:rsidR="00DA416F" w:rsidRPr="00DD3144" w:rsidRDefault="009458F4"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4C6AEE0A" w:rsidR="00DA416F" w:rsidRPr="00DD3144" w:rsidRDefault="009458F4"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3D3AC74E" w:rsidR="00DA416F" w:rsidRPr="00DD3144" w:rsidRDefault="009458F4"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2FCD4BA" w:rsidR="00DA416F" w:rsidRPr="00DD3144" w:rsidRDefault="009458F4"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0879B1CD" w:rsidR="00DA416F" w:rsidRPr="00DD3144" w:rsidRDefault="009458F4"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7" w:name="_Toc198223605"/>
      <w:r>
        <w:lastRenderedPageBreak/>
        <w:t>Domain 2: Transition Planning</w:t>
      </w:r>
      <w:bookmarkEnd w:id="7"/>
    </w:p>
    <w:p w14:paraId="0CA57B64" w14:textId="2923536F" w:rsidR="00F41EE0" w:rsidRDefault="005E50FD" w:rsidP="00F41EE0">
      <w:pPr>
        <w:pStyle w:val="Heading2"/>
      </w:pPr>
      <w:bookmarkStart w:id="8" w:name="_Toc198223606"/>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2B9D0F9" w:rsidR="00C4670C" w:rsidRPr="00C37D48" w:rsidRDefault="00800A8A"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5D92E873" w:rsidR="00C4670C" w:rsidRPr="00C37D48" w:rsidRDefault="00800A8A"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4EA230ED" w:rsidR="00C4670C" w:rsidRPr="00C37D48" w:rsidRDefault="005C39DF" w:rsidP="00C37D48">
            <w:pPr>
              <w:rPr>
                <w:rFonts w:ascii="Calibri" w:hAnsi="Calibri" w:cs="Calibri"/>
              </w:rPr>
            </w:pPr>
            <w:r>
              <w:rPr>
                <w:rFonts w:ascii="Calibri" w:hAnsi="Calibri" w:cs="Calibri"/>
              </w:rP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67EC77B0" w:rsidR="00C4670C" w:rsidRPr="00C37D48" w:rsidRDefault="00800A8A"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5B89B10" w:rsidR="00C4670C" w:rsidRPr="00C37D48" w:rsidRDefault="00800A8A"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4621A5E1" w:rsidR="00C4670C" w:rsidRPr="00C37D48" w:rsidRDefault="00800A8A"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13E58654" w:rsidR="00C4670C" w:rsidRPr="00C37D48" w:rsidRDefault="00800A8A"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675EF2F8" w:rsidR="00C4670C" w:rsidRPr="00C37D48" w:rsidRDefault="00800A8A"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409C059C" w:rsidR="00C4670C" w:rsidRPr="00C37D48" w:rsidRDefault="00800A8A"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3C9012A1" w:rsidR="00C4670C" w:rsidRPr="00C37D48" w:rsidRDefault="00800A8A"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E2785F9" w:rsidR="00C4670C" w:rsidRPr="00C37D48" w:rsidRDefault="00800A8A"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14AA7912" w:rsidR="00C4670C" w:rsidRPr="00C37D48" w:rsidRDefault="004434D5"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6AF355D8" w:rsidR="00C4670C" w:rsidRPr="00C37D48" w:rsidRDefault="004434D5"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21EAD9B6" w:rsidR="004F276F" w:rsidRPr="00C37D48" w:rsidRDefault="00F02643" w:rsidP="00C37D48">
            <w:pPr>
              <w:rPr>
                <w:rFonts w:ascii="Calibri" w:hAnsi="Calibri" w:cs="Calibri"/>
              </w:rPr>
            </w:pPr>
            <w:r>
              <w:rPr>
                <w:rFonts w:ascii="Calibri" w:hAnsi="Calibri" w:cs="Calibri"/>
              </w:rPr>
              <w:t>X</w:t>
            </w: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49AEEA77" w:rsidR="004F276F" w:rsidRPr="00C37D48" w:rsidRDefault="00F02643" w:rsidP="00C37D48">
            <w:pPr>
              <w:rPr>
                <w:rFonts w:ascii="Calibri" w:hAnsi="Calibri" w:cs="Calibri"/>
              </w:rPr>
            </w:pPr>
            <w:r>
              <w:rPr>
                <w:rFonts w:ascii="Calibri" w:hAnsi="Calibri" w:cs="Calibri"/>
              </w:rPr>
              <w:t>X</w:t>
            </w: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1971CAE" w14:textId="77777777" w:rsidR="00942AA2" w:rsidRPr="00C37D48" w:rsidRDefault="00942AA2" w:rsidP="00942AA2">
            <w:pPr>
              <w:rPr>
                <w:rFonts w:ascii="Calibri" w:hAnsi="Calibri" w:cs="Calibri"/>
              </w:rPr>
            </w:pPr>
            <w:r>
              <w:rPr>
                <w:rFonts w:ascii="Calibri" w:hAnsi="Calibri" w:cs="Calibri"/>
              </w:rPr>
              <w:t>Development Finance Institutions</w:t>
            </w:r>
          </w:p>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6B1C4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24A634D8" w:rsidR="004F276F" w:rsidRPr="00C37D48" w:rsidRDefault="002862A5"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54545016" w:rsidR="004F276F" w:rsidRPr="00C37D48" w:rsidRDefault="00D460FF"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5E1C95D4" w:rsidR="001F30DE" w:rsidRPr="00C37D48" w:rsidRDefault="00AF0909"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07C7A8ED" w14:textId="04FD1148" w:rsidR="00D93F5F" w:rsidRPr="00C37D48" w:rsidRDefault="00D93F5F" w:rsidP="00D93F5F">
            <w:pPr>
              <w:rPr>
                <w:rFonts w:ascii="Calibri" w:hAnsi="Calibri" w:cs="Calibri"/>
              </w:rPr>
            </w:pPr>
            <w:r>
              <w:rPr>
                <w:rFonts w:ascii="Calibri" w:hAnsi="Calibri" w:cs="Calibri"/>
              </w:rPr>
              <w:t>The Nigerian banking sector is overseen by the Central Bank of Nigeria, which is committed to international best practices and has firm oversight and supervision on the implementation of the policy. Nigerian banks now routinely ensure sustainability reporting</w:t>
            </w:r>
            <w:r>
              <w:rPr>
                <w:rFonts w:ascii="Calibri" w:hAnsi="Calibri" w:cs="Calibri"/>
              </w:rPr>
              <w:t>,</w:t>
            </w:r>
            <w:r w:rsidR="00B84366">
              <w:rPr>
                <w:rFonts w:ascii="Calibri" w:hAnsi="Calibri" w:cs="Calibri"/>
              </w:rPr>
              <w:t xml:space="preserve"> </w:t>
            </w:r>
            <w:r>
              <w:rPr>
                <w:rFonts w:ascii="Calibri" w:hAnsi="Calibri" w:cs="Calibri"/>
              </w:rPr>
              <w:t xml:space="preserve">including their activities in the </w:t>
            </w:r>
            <w:r w:rsidR="00B84366">
              <w:rPr>
                <w:rFonts w:ascii="Calibri" w:hAnsi="Calibri" w:cs="Calibri"/>
              </w:rPr>
              <w:t xml:space="preserve">agricultural sector alongside </w:t>
            </w:r>
            <w:r w:rsidR="00C17CC6">
              <w:rPr>
                <w:rFonts w:ascii="Calibri" w:hAnsi="Calibri" w:cs="Calibri"/>
              </w:rPr>
              <w:t>power, and oil and gas</w:t>
            </w:r>
            <w:r>
              <w:rPr>
                <w:rFonts w:ascii="Calibri" w:hAnsi="Calibri" w:cs="Calibri"/>
              </w:rPr>
              <w:t>.</w:t>
            </w:r>
          </w:p>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09ACCDCC" w:rsidR="001F30DE" w:rsidRPr="00C37D48" w:rsidRDefault="00AF0909"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62D8DD71" w:rsidR="001F30DE" w:rsidRPr="00C37D48" w:rsidRDefault="00C14BCE"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9" w:name="_Toc198223607"/>
      <w:r>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34B4144A" w:rsidR="004F48E8" w:rsidRPr="00C37D48" w:rsidRDefault="00C14BCE"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319EB7BB" w:rsidR="000A1365" w:rsidRPr="00C37D48" w:rsidRDefault="003029FB"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7F1611DD" w:rsidR="00850F36" w:rsidRPr="00C37D48" w:rsidRDefault="00AD39EB"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0CB84499" w:rsidR="00850F36" w:rsidRPr="00C37D48" w:rsidRDefault="00AD39EB"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142C580F" w:rsidR="00850F36" w:rsidRPr="00C37D48" w:rsidRDefault="00AD39EB"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043AECF4" w:rsidR="00850F36" w:rsidRPr="00C37D48" w:rsidRDefault="00AD39EB"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63A0F447" w:rsidR="00850F36" w:rsidRPr="00C37D48" w:rsidRDefault="00AD39EB"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30C82501" w:rsidR="00850F36" w:rsidRPr="00C37D48" w:rsidRDefault="00AD39EB"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9406FB5" w:rsidR="00850F36" w:rsidRPr="00C37D48" w:rsidRDefault="00AD39EB"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080A2C27" w:rsidR="00850F36" w:rsidRPr="00C37D48" w:rsidRDefault="00AD39EB"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094C8CE4" w:rsidR="00850F36" w:rsidRPr="00C37D48" w:rsidRDefault="00AD39EB"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58C5CD8F" w:rsidR="00850F36" w:rsidRPr="00C37D48" w:rsidRDefault="00AD39EB"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376BD2C6" w:rsidR="00850F36" w:rsidRPr="00C37D48" w:rsidRDefault="00AD39EB"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3E81B804" w:rsidR="00850F36" w:rsidRPr="00C37D48" w:rsidRDefault="00AD39EB"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117D533D" w:rsidR="00850F36" w:rsidRPr="00C37D48" w:rsidRDefault="00AD39EB"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1CFE7E70" w:rsidR="000A1365" w:rsidRPr="00C37D48" w:rsidRDefault="006B42B3"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47C0D263" w:rsidR="000A1365" w:rsidRPr="00C37D48" w:rsidRDefault="00AA72B8" w:rsidP="00C37D48">
            <w:pPr>
              <w:rPr>
                <w:rFonts w:ascii="Calibri" w:hAnsi="Calibri" w:cs="Calibri"/>
              </w:rPr>
            </w:pPr>
            <w:r>
              <w:rPr>
                <w:rFonts w:ascii="Calibri" w:hAnsi="Calibri" w:cs="Calibri"/>
              </w:rPr>
              <w:t>X</w:t>
            </w: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4A2263DF" w:rsidR="00D9431B" w:rsidRPr="00C37D48" w:rsidRDefault="006B44AC"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1A76BC8C" w:rsidR="00890032" w:rsidRPr="00C37D48" w:rsidRDefault="004B4D77"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85A1D71" w:rsidR="003618D4" w:rsidRPr="00C37D48" w:rsidRDefault="002D5505"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6428679E" w:rsidR="003618D4" w:rsidRPr="00C37D48" w:rsidRDefault="002D5505"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7D1C03FE" w:rsidR="003618D4" w:rsidRPr="00C37D48" w:rsidRDefault="002D5505"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1B8C484" w:rsidR="003618D4" w:rsidRPr="00C37D48" w:rsidRDefault="005E293B" w:rsidP="00C37D48">
            <w:pPr>
              <w:rPr>
                <w:rFonts w:ascii="Calibri" w:hAnsi="Calibri" w:cs="Calibri"/>
              </w:rPr>
            </w:pPr>
            <w:r>
              <w:rPr>
                <w:rFonts w:ascii="Calibri" w:hAnsi="Calibri" w:cs="Calibri"/>
              </w:rPr>
              <w:t>X</w:t>
            </w: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585800E0" w:rsidR="003618D4" w:rsidRPr="00C37D48" w:rsidRDefault="005E293B"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43267435" w:rsidR="003618D4" w:rsidRPr="00C37D48" w:rsidRDefault="005E293B"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3D3982E0" w:rsidR="005733AF" w:rsidRPr="00C37D48" w:rsidRDefault="00CC4B25" w:rsidP="00C37D48">
            <w:pPr>
              <w:rPr>
                <w:rFonts w:ascii="Calibri" w:hAnsi="Calibri" w:cs="Calibri"/>
              </w:rPr>
            </w:pPr>
            <w:r>
              <w:t>Principle 9 (page 30) provides that banks should set clear targets and relevant performance indicators.    Principle 6 (page 25) stipulates that banks should establish internal and, where appropriate, external E&amp;S audit procedures.</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5215E9CE" w:rsidR="00E7486E" w:rsidRPr="00C37D48" w:rsidRDefault="00C91438"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260F6A67" w:rsidR="00E7486E" w:rsidRPr="00C37D48" w:rsidRDefault="00E61CD6" w:rsidP="00C37D48">
            <w:pPr>
              <w:rPr>
                <w:rFonts w:ascii="Calibri" w:hAnsi="Calibri" w:cs="Calibri"/>
              </w:rPr>
            </w:pPr>
            <w:r>
              <w:t>Principle 9 provides that a bank should commit to continuously monitor the progress of the implementation of the policy tool.</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3F02BFC" w:rsidR="00671EA4" w:rsidRPr="00C37D48" w:rsidRDefault="00AE3EFE" w:rsidP="00C37D48">
            <w:pPr>
              <w:rPr>
                <w:rFonts w:ascii="Calibri" w:hAnsi="Calibri" w:cs="Calibri"/>
              </w:rPr>
            </w:pPr>
            <w:r>
              <w:rPr>
                <w:rFonts w:ascii="Calibri" w:hAnsi="Calibri" w:cs="Calibri"/>
              </w:rPr>
              <w:t>X</w:t>
            </w: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362733CB" w:rsidR="00773639" w:rsidRPr="00C37D48" w:rsidRDefault="00371A73" w:rsidP="00C37D48">
            <w:pPr>
              <w:rPr>
                <w:rFonts w:ascii="Calibri" w:hAnsi="Calibri" w:cs="Calibri"/>
              </w:rPr>
            </w:pPr>
            <w:r>
              <w:rPr>
                <w:rFonts w:ascii="Calibri" w:hAnsi="Calibri" w:cs="Calibri"/>
              </w:rPr>
              <w:t>X</w:t>
            </w: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5F2D654D" w:rsidR="00773639" w:rsidRPr="00C37D48" w:rsidRDefault="00FC15D8" w:rsidP="00C37D48">
            <w:pPr>
              <w:rPr>
                <w:rFonts w:ascii="Calibri" w:hAnsi="Calibri" w:cs="Calibri"/>
              </w:rPr>
            </w:pPr>
            <w:r>
              <w:rPr>
                <w:rFonts w:ascii="Calibri" w:hAnsi="Calibri" w:cs="Calibri"/>
              </w:rPr>
              <w:t>X</w:t>
            </w: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28947B5" w:rsidR="00813A3A" w:rsidRPr="00C37D48" w:rsidRDefault="00B17F89" w:rsidP="00C37D48">
            <w:pPr>
              <w:rPr>
                <w:rFonts w:ascii="Calibri" w:hAnsi="Calibri" w:cs="Calibri"/>
              </w:rPr>
            </w:pPr>
            <w:r>
              <w:t>Principle 6 requires banks to establish an effective E&amp;S governance structure in support of its Sustainable Banking commitments and to encourage comparable practices among its clients. Principle 6 recommends that financial institutions should implement E&amp;S performance­‐linked compensation and incentive schemes for employees. Principle 1 recommends that financial institutions should conduct due diligence on their clients. It further states that clients with higher potential exposure to E&amp;S risk will require more detailed due diligence.</w:t>
            </w:r>
          </w:p>
        </w:tc>
      </w:tr>
    </w:tbl>
    <w:p w14:paraId="7F9159A2" w14:textId="77777777" w:rsidR="007936C6" w:rsidRDefault="007936C6"/>
    <w:p w14:paraId="0E7A1D8B" w14:textId="20D879B9" w:rsidR="00950B68" w:rsidRDefault="005E50FD" w:rsidP="00950B68">
      <w:pPr>
        <w:pStyle w:val="Heading2"/>
      </w:pPr>
      <w:bookmarkStart w:id="13" w:name="_Toc198223611"/>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455D26D3" w:rsidR="00B610C2" w:rsidRPr="00610F28" w:rsidRDefault="006B5FB0"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1A74991" w:rsidR="00B610C2" w:rsidRPr="00610F28" w:rsidRDefault="006B5FB0"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9BDFC25" w:rsidR="00B610C2" w:rsidRPr="00610F28" w:rsidRDefault="006B5FB0"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06F4019E" w:rsidR="00B610C2" w:rsidRPr="00610F28" w:rsidRDefault="00823795"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59EECBA9" w:rsidR="00B610C2" w:rsidRPr="00610F28" w:rsidRDefault="00823795"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5DEDF8BD" w:rsidR="00B610C2" w:rsidRPr="00610F28" w:rsidRDefault="00BA0AAE" w:rsidP="00610F28">
            <w:pPr>
              <w:rPr>
                <w:rFonts w:ascii="Calibri" w:hAnsi="Calibri" w:cs="Calibri"/>
              </w:rPr>
            </w:pPr>
            <w:r>
              <w:rPr>
                <w:rFonts w:ascii="Calibri" w:hAnsi="Calibri" w:cs="Calibri"/>
              </w:rPr>
              <w:t>X</w:t>
            </w:r>
          </w:p>
        </w:tc>
        <w:tc>
          <w:tcPr>
            <w:tcW w:w="1450" w:type="dxa"/>
            <w:vAlign w:val="center"/>
          </w:tcPr>
          <w:p w14:paraId="52C7845D" w14:textId="0D6C4780"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1321DA3" w:rsidR="00B610C2" w:rsidRPr="00610F28" w:rsidRDefault="00823795"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24E96101" w:rsidR="00B610C2" w:rsidRPr="00610F28" w:rsidRDefault="00BA0AAE"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83B1A36" w:rsidR="00B610C2" w:rsidRPr="00610F28" w:rsidRDefault="00BA0AAE"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E6961F4" w:rsidR="00B610C2" w:rsidRPr="00610F28" w:rsidRDefault="00BA0AAE"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0DFFAF01" w:rsidR="00B610C2" w:rsidRPr="00610F28" w:rsidRDefault="00BA0AAE" w:rsidP="00610F28">
            <w:pPr>
              <w:rPr>
                <w:rFonts w:ascii="Calibri" w:hAnsi="Calibri" w:cs="Calibri"/>
              </w:rPr>
            </w:pPr>
            <w:r>
              <w:rPr>
                <w:rFonts w:ascii="Calibri" w:hAnsi="Calibri" w:cs="Calibri"/>
              </w:rP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40E21A20" w:rsidR="00B610C2" w:rsidRPr="00610F28" w:rsidRDefault="00115ABA" w:rsidP="00610F28">
            <w:pPr>
              <w:rPr>
                <w:rFonts w:ascii="Calibri" w:hAnsi="Calibri" w:cs="Calibri"/>
              </w:rPr>
            </w:pPr>
            <w:r>
              <w:t>The United Nations Global Compact, Millennium Development Goals, UNEP‐FI, the Global Reporting Initiative financial sector supplement, the World Business Council for Sustainable Development, and the Equator Principles.</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4" w:name="_Toc198223612"/>
      <w:r>
        <w:lastRenderedPageBreak/>
        <w:t>Domain 3: Public Procurement</w:t>
      </w:r>
      <w:bookmarkEnd w:id="14"/>
      <w:r>
        <w:t xml:space="preserve"> </w:t>
      </w:r>
    </w:p>
    <w:p w14:paraId="0D8B4B9F" w14:textId="5E2943CF"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4107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6"/>
      <w:bookmarkEnd w:id="17"/>
    </w:tbl>
    <w:p w14:paraId="712268FA" w14:textId="77777777" w:rsidR="00B802FC" w:rsidRDefault="00B802FC"/>
    <w:p w14:paraId="59E94F30" w14:textId="5EC9D13E"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r w:rsidR="002E5ACB">
        <w:t>Life</w:t>
      </w:r>
      <w:r w:rsidR="00DF4489">
        <w:t>-cycle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1" w:name="_Toc198223617"/>
      <w:r>
        <w:lastRenderedPageBreak/>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lastRenderedPageBreak/>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3F0FB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lastRenderedPageBreak/>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13FA4DCC" w:rsidR="00D4323A" w:rsidRPr="00CF2E7C" w:rsidRDefault="009315BB"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04873F7D" w:rsidR="00D4323A" w:rsidRPr="00CF2E7C" w:rsidRDefault="009315BB"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29B2821B" w:rsidR="00D4323A" w:rsidRPr="00CF2E7C" w:rsidRDefault="00AE514D"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539B509C" w:rsidR="00D4323A" w:rsidRPr="00CF2E7C" w:rsidRDefault="009315BB"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08706557" w:rsidR="00D4323A" w:rsidRPr="00CF2E7C" w:rsidRDefault="009315BB"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5AEC66F6" w:rsidR="00D4323A" w:rsidRPr="00CF2E7C" w:rsidRDefault="009315BB"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3A36D996" w:rsidR="00D4323A" w:rsidRPr="00CF2E7C" w:rsidRDefault="009315BB"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654630BF" w:rsidR="00D4323A" w:rsidRPr="00CF2E7C" w:rsidRDefault="009315BB"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50C906BF" w:rsidR="00D4323A" w:rsidRPr="00CF2E7C" w:rsidRDefault="009315BB"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4B14B4CA" w:rsidR="00D4323A" w:rsidRPr="00CF2E7C" w:rsidRDefault="009315BB"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4687655" w:rsidR="00D4323A" w:rsidRPr="00CF2E7C" w:rsidRDefault="009315BB"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1B521480"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4C2DFD0F" w:rsidR="00D4323A" w:rsidRPr="00CF2E7C" w:rsidRDefault="003C1601"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5F773094" w:rsidR="00D4323A" w:rsidRPr="00CF2E7C" w:rsidRDefault="009315BB"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11C959B1" w14:textId="77777777" w:rsidR="00BA64B9" w:rsidRPr="00CF2E7C" w:rsidRDefault="00BA64B9" w:rsidP="00BA64B9">
            <w:pPr>
              <w:rPr>
                <w:rFonts w:ascii="Calibri" w:hAnsi="Calibri" w:cs="Calibri"/>
              </w:rPr>
            </w:pPr>
            <w:r>
              <w:rPr>
                <w:rFonts w:ascii="Calibri" w:hAnsi="Calibri" w:cs="Calibri"/>
              </w:rPr>
              <w:t>Development Finance Institutions</w:t>
            </w:r>
          </w:p>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3EC481C2" w:rsidR="00DD292A" w:rsidRPr="00CF2E7C" w:rsidRDefault="00A843D6"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A8F7F8B" w:rsidR="00DD292A" w:rsidRPr="00CF2E7C" w:rsidRDefault="009315BB"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6E1CF945" w:rsidR="00DD292A" w:rsidRPr="00CF2E7C" w:rsidRDefault="009315BB"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6893BCFB" w:rsidR="00DD292A" w:rsidRPr="00CF2E7C" w:rsidRDefault="009315BB"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06C5DF33" w:rsidR="00DD292A" w:rsidRPr="00CF2E7C" w:rsidRDefault="009315BB"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13B2BCA8" w:rsidR="00DD292A" w:rsidRPr="00CF2E7C" w:rsidRDefault="00A843D6" w:rsidP="00CF2E7C">
            <w:pPr>
              <w:rPr>
                <w:rFonts w:ascii="Calibri" w:hAnsi="Calibri" w:cs="Calibri"/>
              </w:rPr>
            </w:pPr>
            <w:r>
              <w:rPr>
                <w:rFonts w:ascii="Calibri" w:hAnsi="Calibri" w:cs="Calibri"/>
              </w:rPr>
              <w:t>X</w:t>
            </w: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499B8624" w:rsidR="00DD292A" w:rsidRPr="00CF2E7C" w:rsidRDefault="007D79DC" w:rsidP="00CF2E7C">
            <w:pPr>
              <w:rPr>
                <w:rFonts w:ascii="Calibri" w:hAnsi="Calibri" w:cs="Calibri"/>
              </w:rPr>
            </w:pPr>
            <w:r>
              <w:rPr>
                <w:rFonts w:ascii="Calibri" w:hAnsi="Calibri" w:cs="Calibri"/>
              </w:rPr>
              <w:t xml:space="preserve">Discount Houses and Development Finance Institutions </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214D0D84" w:rsidR="00DD292A" w:rsidRPr="00CF2E7C" w:rsidRDefault="007D79DC" w:rsidP="00CF2E7C">
            <w:pPr>
              <w:rPr>
                <w:rFonts w:ascii="Calibri" w:hAnsi="Calibri" w:cs="Calibri"/>
              </w:rPr>
            </w:pPr>
            <w:r>
              <w:rPr>
                <w:rFonts w:ascii="Calibri" w:hAnsi="Calibri" w:cs="Calibri"/>
              </w:rPr>
              <w:t>X</w:t>
            </w: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0105E39" w:rsidR="00DD292A" w:rsidRPr="00CF2E7C" w:rsidRDefault="009315BB"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3EFBA179" w:rsidR="00DD292A" w:rsidRPr="00CF2E7C" w:rsidRDefault="009315BB"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566E8708" w:rsidR="00DD292A" w:rsidRPr="00CF2E7C" w:rsidRDefault="009315BB"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693F2335" w:rsidR="00DD292A" w:rsidRPr="00CF2E7C" w:rsidRDefault="009315BB"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36369846" w:rsidR="00DD292A" w:rsidRPr="00CF2E7C" w:rsidRDefault="009315BB"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677C7E1C" w:rsidR="00DD292A" w:rsidRPr="00CF2E7C" w:rsidRDefault="009315BB"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2DFED95B" w:rsidR="00DD292A" w:rsidRPr="00CF2E7C" w:rsidRDefault="009315BB"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24E54217" w:rsidR="00DD292A" w:rsidRPr="00CF2E7C" w:rsidRDefault="009315BB"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0A253185" w:rsidR="00DD292A" w:rsidRPr="00CF2E7C" w:rsidRDefault="009315BB"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474F6A4F" w:rsidR="00DD292A" w:rsidRPr="00CF2E7C" w:rsidRDefault="009315BB" w:rsidP="00CF2E7C">
            <w:pPr>
              <w:rPr>
                <w:rFonts w:ascii="Calibri" w:hAnsi="Calibri" w:cs="Calibri"/>
              </w:rPr>
            </w:pPr>
            <w:r>
              <w:rPr>
                <w:rFonts w:ascii="Calibri" w:hAnsi="Calibri" w:cs="Calibri"/>
              </w:rPr>
              <w:t>X</w:t>
            </w: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4FE96187" w:rsidR="00DD292A" w:rsidRPr="00CF2E7C" w:rsidRDefault="009315BB"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4CAE329D" w:rsidR="00DD292A" w:rsidRPr="00CF2E7C" w:rsidRDefault="009315BB"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51D889AD" w:rsidR="00DD292A" w:rsidRPr="00CF2E7C" w:rsidRDefault="009315BB"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B26871D" w:rsidR="00DD292A" w:rsidRPr="00CF2E7C" w:rsidRDefault="009315BB"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101A5880" w:rsidR="00DD292A" w:rsidRPr="00CF2E7C" w:rsidRDefault="009315BB"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5DC1EECE" w:rsidR="00DD292A" w:rsidRPr="00CF2E7C" w:rsidRDefault="009315BB"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3F33989" w:rsidR="00DD292A" w:rsidRPr="00CF2E7C" w:rsidRDefault="009315BB"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54F341C4" w:rsidR="00DD292A" w:rsidRPr="00CF2E7C" w:rsidRDefault="009315BB"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132EE5EE" w:rsidR="00DD292A" w:rsidRPr="00CF2E7C" w:rsidRDefault="009315BB"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09379A41" w:rsidR="00DD292A" w:rsidRPr="00CF2E7C" w:rsidRDefault="009315BB"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35256B55" w:rsidR="00DD292A" w:rsidRPr="00CF2E7C" w:rsidRDefault="009315BB" w:rsidP="00CF2E7C">
            <w:pPr>
              <w:rPr>
                <w:rFonts w:ascii="Calibri" w:hAnsi="Calibri" w:cs="Calibri"/>
              </w:rPr>
            </w:pPr>
            <w:r>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5F413BDB" w14:textId="6DC1D4E7" w:rsidR="00791F54" w:rsidRDefault="000A3D02" w:rsidP="00CF2E7C">
            <w:pPr>
              <w:rPr>
                <w:rFonts w:ascii="Calibri" w:hAnsi="Calibri" w:cs="Calibri"/>
              </w:rPr>
            </w:pPr>
            <w:r>
              <w:rPr>
                <w:rFonts w:ascii="Calibri" w:hAnsi="Calibri" w:cs="Calibri"/>
              </w:rPr>
              <w:t>The policy tool provides</w:t>
            </w:r>
            <w:r w:rsidR="00813DF3">
              <w:rPr>
                <w:rFonts w:ascii="Calibri" w:hAnsi="Calibri" w:cs="Calibri"/>
              </w:rPr>
              <w:t xml:space="preserve"> guidelines to a</w:t>
            </w:r>
            <w:r w:rsidR="00813DF3" w:rsidRPr="00813DF3">
              <w:rPr>
                <w:rFonts w:ascii="Calibri" w:hAnsi="Calibri" w:cs="Calibri"/>
              </w:rPr>
              <w:t xml:space="preserve">ssist </w:t>
            </w:r>
            <w:r w:rsidR="009315BB">
              <w:rPr>
                <w:rFonts w:ascii="Calibri" w:hAnsi="Calibri" w:cs="Calibri"/>
              </w:rPr>
              <w:t>b</w:t>
            </w:r>
            <w:r w:rsidR="00813DF3" w:rsidRPr="00813DF3">
              <w:rPr>
                <w:rFonts w:ascii="Calibri" w:hAnsi="Calibri" w:cs="Calibri"/>
              </w:rPr>
              <w:t>anks in the identification and management of complex E&amp;S risks associated with the provision of financial products and services to the Nigerian agriculture sector</w:t>
            </w:r>
            <w:r w:rsidR="00813DF3">
              <w:rPr>
                <w:rFonts w:ascii="Calibri" w:hAnsi="Calibri" w:cs="Calibri"/>
              </w:rPr>
              <w:t xml:space="preserve">. </w:t>
            </w:r>
          </w:p>
          <w:p w14:paraId="4E02EAA1" w14:textId="77777777" w:rsidR="009315BB" w:rsidRDefault="00813DF3" w:rsidP="00CF2E7C">
            <w:pPr>
              <w:rPr>
                <w:rFonts w:ascii="Calibri" w:hAnsi="Calibri" w:cs="Calibri"/>
              </w:rPr>
            </w:pPr>
            <w:r>
              <w:rPr>
                <w:rFonts w:ascii="Calibri" w:hAnsi="Calibri" w:cs="Calibri"/>
              </w:rPr>
              <w:t xml:space="preserve">Additionally, the Guidance </w:t>
            </w:r>
            <w:r w:rsidR="009315BB">
              <w:rPr>
                <w:rFonts w:ascii="Calibri" w:hAnsi="Calibri" w:cs="Calibri"/>
              </w:rPr>
              <w:t>N</w:t>
            </w:r>
            <w:r>
              <w:rPr>
                <w:rFonts w:ascii="Calibri" w:hAnsi="Calibri" w:cs="Calibri"/>
              </w:rPr>
              <w:t xml:space="preserve">ote states that </w:t>
            </w:r>
            <w:r w:rsidRPr="00813DF3">
              <w:rPr>
                <w:rFonts w:ascii="Calibri" w:hAnsi="Calibri" w:cs="Calibri"/>
              </w:rPr>
              <w:t>by</w:t>
            </w:r>
            <w:r>
              <w:rPr>
                <w:rFonts w:ascii="Calibri" w:hAnsi="Calibri" w:cs="Calibri"/>
              </w:rPr>
              <w:t xml:space="preserve"> seeking to lead by</w:t>
            </w:r>
            <w:r w:rsidRPr="00813DF3">
              <w:rPr>
                <w:rFonts w:ascii="Calibri" w:hAnsi="Calibri" w:cs="Calibri"/>
              </w:rPr>
              <w:t xml:space="preserve"> example, </w:t>
            </w:r>
            <w:r>
              <w:rPr>
                <w:rFonts w:ascii="Calibri" w:hAnsi="Calibri" w:cs="Calibri"/>
              </w:rPr>
              <w:t>the sector participants will similarly</w:t>
            </w:r>
            <w:r w:rsidRPr="00813DF3">
              <w:rPr>
                <w:rFonts w:ascii="Calibri" w:hAnsi="Calibri" w:cs="Calibri"/>
              </w:rPr>
              <w:t xml:space="preserve"> consider the direct impacts on the environment and society arising from </w:t>
            </w:r>
            <w:r>
              <w:rPr>
                <w:rFonts w:ascii="Calibri" w:hAnsi="Calibri" w:cs="Calibri"/>
              </w:rPr>
              <w:t>their</w:t>
            </w:r>
            <w:r w:rsidRPr="00813DF3">
              <w:rPr>
                <w:rFonts w:ascii="Calibri" w:hAnsi="Calibri" w:cs="Calibri"/>
              </w:rPr>
              <w:t xml:space="preserve"> own business operations. </w:t>
            </w:r>
          </w:p>
          <w:p w14:paraId="052C8C35" w14:textId="42E10829" w:rsidR="00DD292A" w:rsidRPr="00CF2E7C" w:rsidRDefault="00813DF3" w:rsidP="00CF2E7C">
            <w:pPr>
              <w:rPr>
                <w:rFonts w:ascii="Calibri" w:hAnsi="Calibri" w:cs="Calibri"/>
              </w:rPr>
            </w:pPr>
            <w:r>
              <w:rPr>
                <w:rFonts w:ascii="Calibri" w:hAnsi="Calibri" w:cs="Calibri"/>
              </w:rPr>
              <w:t>Furthermore, the sector participants</w:t>
            </w:r>
            <w:r w:rsidRPr="00813DF3">
              <w:rPr>
                <w:rFonts w:ascii="Calibri" w:hAnsi="Calibri" w:cs="Calibri"/>
              </w:rPr>
              <w:t xml:space="preserve"> will work to be a driving force for good in the communities and natural environment in which</w:t>
            </w:r>
            <w:r>
              <w:rPr>
                <w:rFonts w:ascii="Calibri" w:hAnsi="Calibri" w:cs="Calibri"/>
              </w:rPr>
              <w:t xml:space="preserve"> they</w:t>
            </w:r>
            <w:r w:rsidRPr="00813DF3">
              <w:rPr>
                <w:rFonts w:ascii="Calibri" w:hAnsi="Calibri" w:cs="Calibri"/>
              </w:rPr>
              <w:t xml:space="preserve"> operate by finding ways to avoid or mitigate negative impacts whilst innovating new means to achieve positive gains.</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791F54" w:rsidRDefault="00DD292A" w:rsidP="00CF2E7C">
            <w:pPr>
              <w:rPr>
                <w:rFonts w:ascii="Calibri" w:hAnsi="Calibri" w:cs="Calibri"/>
              </w:rPr>
            </w:pPr>
            <w:r w:rsidRPr="00791F54">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lastRenderedPageBreak/>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3F0FB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30604CB" w:rsidR="00DD292A" w:rsidRPr="00CF2E7C" w:rsidRDefault="009315BB"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60F0053E"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B20A202" w:rsidR="00DD3B33" w:rsidRPr="00CF2E7C" w:rsidRDefault="005669FE"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lastRenderedPageBreak/>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64A23CDD" w:rsidR="00DD292A" w:rsidRPr="00CF2E7C" w:rsidRDefault="00791F54"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0C766825" w:rsidR="00DD292A" w:rsidRPr="00CF2E7C" w:rsidRDefault="00791F54" w:rsidP="00CF2E7C">
            <w:pPr>
              <w:rPr>
                <w:rFonts w:ascii="Calibri" w:hAnsi="Calibri" w:cs="Calibri"/>
              </w:rPr>
            </w:pPr>
            <w:r>
              <w:rPr>
                <w:rFonts w:ascii="Calibri" w:hAnsi="Calibri" w:cs="Calibri"/>
              </w:rPr>
              <w:t xml:space="preserve">Yes, public records show that all </w:t>
            </w:r>
            <w:r w:rsidR="003F4146">
              <w:rPr>
                <w:rFonts w:ascii="Calibri" w:hAnsi="Calibri" w:cs="Calibri"/>
              </w:rPr>
              <w:t>d</w:t>
            </w:r>
            <w:r>
              <w:rPr>
                <w:rFonts w:ascii="Calibri" w:hAnsi="Calibri" w:cs="Calibri"/>
              </w:rPr>
              <w:t xml:space="preserve">eposit money bank have adopted the policy tool and many have carried out initiatives in line with the policy tool. </w:t>
            </w:r>
            <w:hyperlink r:id="rId21" w:anchor=":~:text=Yet%2C%20according%20to%20the%20Central,be%20cajoled%20into%20implementing%20it." w:history="1">
              <w:r w:rsidR="009315BB">
                <w:rPr>
                  <w:rStyle w:val="Hyperlink"/>
                  <w:rFonts w:ascii="Calibri" w:hAnsi="Calibri" w:cs="Calibri"/>
                </w:rPr>
                <w:t>Nigerian Sustainale Banking Principles - 5 Years After</w:t>
              </w:r>
            </w:hyperlink>
            <w:r>
              <w:rPr>
                <w:rFonts w:ascii="Calibri" w:hAnsi="Calibri" w:cs="Calibri"/>
              </w:rPr>
              <w:t xml:space="preserve"> </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3F14000"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0C20A556" w:rsidR="00DD292A" w:rsidRPr="00CF2E7C" w:rsidRDefault="004F5264" w:rsidP="00CF2E7C">
            <w:pPr>
              <w:rPr>
                <w:rFonts w:ascii="Calibri" w:hAnsi="Calibri" w:cs="Calibri"/>
              </w:rPr>
            </w:pPr>
            <w:r>
              <w:rPr>
                <w:rFonts w:ascii="Calibri" w:hAnsi="Calibri" w:cs="Calibri"/>
              </w:rPr>
              <w:t>X</w:t>
            </w: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2068FBB8" w:rsidR="00DD292A" w:rsidRPr="00CF2E7C" w:rsidRDefault="005669FE" w:rsidP="00CF2E7C">
            <w:pPr>
              <w:rPr>
                <w:rFonts w:ascii="Calibri" w:hAnsi="Calibri" w:cs="Calibri"/>
              </w:rPr>
            </w:pPr>
            <w:r>
              <w:rPr>
                <w:rFonts w:ascii="Calibri" w:hAnsi="Calibri" w:cs="Calibri"/>
              </w:rPr>
              <w:t xml:space="preserve">Currently, all licensed </w:t>
            </w:r>
            <w:r w:rsidR="00732CCF">
              <w:rPr>
                <w:rFonts w:ascii="Calibri" w:hAnsi="Calibri" w:cs="Calibri"/>
              </w:rPr>
              <w:t>banks, discount houses, and development finance institutions have formally adopted the policy tool since the adoption of the tool.</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68D972F" w:rsidR="00DD292A" w:rsidRPr="00CF2E7C" w:rsidRDefault="00732CCF"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lastRenderedPageBreak/>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1B411A2A"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4F668418" w:rsidR="00410853" w:rsidRPr="00CF2E7C" w:rsidRDefault="00732CC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2AE66729" w:rsidR="00F632FB" w:rsidRPr="00CF2E7C" w:rsidRDefault="00732CC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64104C96" w:rsidR="00F632FB" w:rsidRPr="00CF2E7C" w:rsidRDefault="00732CC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030C7605" w:rsidR="00F632FB" w:rsidRPr="00CF2E7C" w:rsidRDefault="00732CC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6056F546" w:rsidR="00F632FB" w:rsidRPr="00CF2E7C" w:rsidRDefault="00732CC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4F74EB1B" w:rsidR="008C4722" w:rsidRPr="00CF2E7C" w:rsidRDefault="00E16C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445B2D47" w:rsidR="008C4722" w:rsidRPr="00CF2E7C" w:rsidRDefault="00E16C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Guideline 4 of the </w:t>
            </w:r>
            <w:r w:rsidR="009315BB">
              <w:rPr>
                <w:rFonts w:ascii="Calibri" w:eastAsia="Times New Roman" w:hAnsi="Calibri" w:cs="Calibri"/>
                <w:kern w:val="0"/>
                <w:lang w:eastAsia="en-GB"/>
                <w14:ligatures w14:val="none"/>
              </w:rPr>
              <w:t>Guidelines of the policy tool</w:t>
            </w:r>
            <w:r>
              <w:rPr>
                <w:rFonts w:ascii="Calibri" w:eastAsia="Times New Roman" w:hAnsi="Calibri" w:cs="Calibri"/>
                <w:kern w:val="0"/>
                <w:lang w:eastAsia="en-GB"/>
                <w14:ligatures w14:val="none"/>
              </w:rPr>
              <w:t xml:space="preserve"> provides that f</w:t>
            </w:r>
            <w:r w:rsidRPr="00E16C69">
              <w:rPr>
                <w:rFonts w:ascii="Calibri" w:eastAsia="Times New Roman" w:hAnsi="Calibri" w:cs="Calibri"/>
                <w:kern w:val="0"/>
                <w:lang w:eastAsia="en-GB"/>
                <w14:ligatures w14:val="none"/>
              </w:rPr>
              <w:t>or all activities that fall within the scope of th</w:t>
            </w:r>
            <w:r>
              <w:rPr>
                <w:rFonts w:ascii="Calibri" w:eastAsia="Times New Roman" w:hAnsi="Calibri" w:cs="Calibri"/>
                <w:kern w:val="0"/>
                <w:lang w:eastAsia="en-GB"/>
                <w14:ligatures w14:val="none"/>
              </w:rPr>
              <w:t>e</w:t>
            </w:r>
            <w:r w:rsidRPr="00E16C69">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G</w:t>
            </w:r>
            <w:r w:rsidRPr="00E16C69">
              <w:rPr>
                <w:rFonts w:ascii="Calibri" w:eastAsia="Times New Roman" w:hAnsi="Calibri" w:cs="Calibri"/>
                <w:kern w:val="0"/>
                <w:lang w:eastAsia="en-GB"/>
                <w14:ligatures w14:val="none"/>
              </w:rPr>
              <w:t>uideline</w:t>
            </w:r>
            <w:r>
              <w:rPr>
                <w:rFonts w:ascii="Calibri" w:eastAsia="Times New Roman" w:hAnsi="Calibri" w:cs="Calibri"/>
                <w:kern w:val="0"/>
                <w:lang w:eastAsia="en-GB"/>
                <w14:ligatures w14:val="none"/>
              </w:rPr>
              <w:t>s</w:t>
            </w:r>
            <w:r w:rsidR="00791F54">
              <w:rPr>
                <w:rFonts w:ascii="Calibri" w:eastAsia="Times New Roman" w:hAnsi="Calibri" w:cs="Calibri"/>
                <w:kern w:val="0"/>
                <w:lang w:eastAsia="en-GB"/>
                <w14:ligatures w14:val="none"/>
              </w:rPr>
              <w:t>,</w:t>
            </w:r>
            <w:r w:rsidRPr="00E16C69">
              <w:rPr>
                <w:rFonts w:ascii="Calibri" w:eastAsia="Times New Roman" w:hAnsi="Calibri" w:cs="Calibri"/>
                <w:kern w:val="0"/>
                <w:lang w:eastAsia="en-GB"/>
                <w14:ligatures w14:val="none"/>
              </w:rPr>
              <w:t xml:space="preserve"> a Bank shall</w:t>
            </w:r>
            <w:r>
              <w:rPr>
                <w:rFonts w:ascii="Calibri" w:eastAsia="Times New Roman" w:hAnsi="Calibri" w:cs="Calibri"/>
                <w:kern w:val="0"/>
                <w:lang w:eastAsia="en-GB"/>
                <w14:ligatures w14:val="none"/>
              </w:rPr>
              <w:t>,</w:t>
            </w:r>
            <w:r w:rsidRPr="00E16C69">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c</w:t>
            </w:r>
            <w:r w:rsidRPr="00E16C69">
              <w:rPr>
                <w:rFonts w:ascii="Calibri" w:eastAsia="Times New Roman" w:hAnsi="Calibri" w:cs="Calibri"/>
                <w:kern w:val="0"/>
                <w:lang w:eastAsia="en-GB"/>
                <w14:ligatures w14:val="none"/>
              </w:rPr>
              <w:t>onduct E&amp;S risk analysis and assessment of agricultural clients and activities, and ensure that identified risks are adequately monitored and managed</w:t>
            </w:r>
            <w:r>
              <w:rPr>
                <w:rFonts w:ascii="Calibri" w:eastAsia="Times New Roman" w:hAnsi="Calibri" w:cs="Calibri"/>
                <w:kern w:val="0"/>
                <w:lang w:eastAsia="en-GB"/>
                <w14:ligatures w14:val="none"/>
              </w:rPr>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42C414E4" w:rsidR="008C4722" w:rsidRPr="00CF2E7C" w:rsidRDefault="00E16C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61B8F197" w:rsidR="007B7DEE" w:rsidRPr="00CF2E7C" w:rsidRDefault="00E16C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E97C0A0" w:rsidR="00ED7E12" w:rsidRPr="00CF2E7C" w:rsidRDefault="00A323C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6EC56D99" w:rsidR="00ED7E12" w:rsidRPr="00CF2E7C" w:rsidRDefault="00A323C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A86BA89" w14:textId="6E89079C" w:rsidR="00791F54" w:rsidRDefault="00A323CC" w:rsidP="00CA2851">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00BB787E">
              <w:rPr>
                <w:rFonts w:ascii="Calibri" w:eastAsia="Times New Roman" w:hAnsi="Calibri" w:cs="Calibri"/>
                <w:kern w:val="0"/>
                <w:lang w:eastAsia="en-GB"/>
                <w14:ligatures w14:val="none"/>
              </w:rPr>
              <w:t>C</w:t>
            </w:r>
            <w:r>
              <w:rPr>
                <w:rFonts w:ascii="Calibri" w:eastAsia="Times New Roman" w:hAnsi="Calibri" w:cs="Calibri"/>
                <w:kern w:val="0"/>
                <w:lang w:eastAsia="en-GB"/>
                <w14:ligatures w14:val="none"/>
              </w:rPr>
              <w:t>ircular introducing the policy tool states that t</w:t>
            </w:r>
            <w:r w:rsidRPr="00A323CC">
              <w:rPr>
                <w:rFonts w:ascii="Calibri" w:eastAsia="Times New Roman" w:hAnsi="Calibri" w:cs="Calibri"/>
                <w:kern w:val="0"/>
                <w:lang w:eastAsia="en-GB"/>
                <w14:ligatures w14:val="none"/>
              </w:rPr>
              <w:t>o enable the CBN track the progress of implementation and adherence to the Principles and Guidelines, banks, discount houses and development finance institutions will be required to submit regular reports to the CBN in line with reporting requirements which will be made ava</w:t>
            </w:r>
            <w:r>
              <w:rPr>
                <w:rFonts w:ascii="Calibri" w:eastAsia="Times New Roman" w:hAnsi="Calibri" w:cs="Calibri"/>
                <w:kern w:val="0"/>
                <w:lang w:eastAsia="en-GB"/>
                <w14:ligatures w14:val="none"/>
              </w:rPr>
              <w:t>i</w:t>
            </w:r>
            <w:r w:rsidRPr="00A323CC">
              <w:rPr>
                <w:rFonts w:ascii="Calibri" w:eastAsia="Times New Roman" w:hAnsi="Calibri" w:cs="Calibri"/>
                <w:kern w:val="0"/>
                <w:lang w:eastAsia="en-GB"/>
                <w14:ligatures w14:val="none"/>
              </w:rPr>
              <w:t>lable to the industry</w:t>
            </w:r>
            <w:r>
              <w:rPr>
                <w:rFonts w:ascii="Calibri" w:eastAsia="Times New Roman" w:hAnsi="Calibri" w:cs="Calibri"/>
                <w:kern w:val="0"/>
                <w:lang w:eastAsia="en-GB"/>
                <w14:ligatures w14:val="none"/>
              </w:rPr>
              <w:t xml:space="preserve">. </w:t>
            </w:r>
          </w:p>
          <w:p w14:paraId="07CAE721" w14:textId="064211EC" w:rsidR="00791F54" w:rsidRDefault="00A323CC" w:rsidP="00CA2851">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Under the implementation section of the </w:t>
            </w:r>
            <w:r w:rsidR="00F468E4">
              <w:rPr>
                <w:rFonts w:ascii="Calibri" w:eastAsia="Times New Roman" w:hAnsi="Calibri" w:cs="Calibri"/>
                <w:kern w:val="0"/>
                <w:lang w:eastAsia="en-GB"/>
                <w14:ligatures w14:val="none"/>
              </w:rPr>
              <w:t xml:space="preserve">introduction to the Guidance </w:t>
            </w:r>
            <w:r w:rsidR="00BB787E">
              <w:rPr>
                <w:rFonts w:ascii="Calibri" w:eastAsia="Times New Roman" w:hAnsi="Calibri" w:cs="Calibri"/>
                <w:kern w:val="0"/>
                <w:lang w:eastAsia="en-GB"/>
                <w14:ligatures w14:val="none"/>
              </w:rPr>
              <w:t>N</w:t>
            </w:r>
            <w:r w:rsidR="00F468E4">
              <w:rPr>
                <w:rFonts w:ascii="Calibri" w:eastAsia="Times New Roman" w:hAnsi="Calibri" w:cs="Calibri"/>
                <w:kern w:val="0"/>
                <w:lang w:eastAsia="en-GB"/>
                <w14:ligatures w14:val="none"/>
              </w:rPr>
              <w:t>ote it states that a</w:t>
            </w:r>
            <w:r w:rsidR="00F468E4" w:rsidRPr="00F468E4">
              <w:rPr>
                <w:rFonts w:ascii="Calibri" w:eastAsia="Times New Roman" w:hAnsi="Calibri" w:cs="Calibri"/>
                <w:kern w:val="0"/>
                <w:lang w:eastAsia="en-GB"/>
                <w14:ligatures w14:val="none"/>
              </w:rPr>
              <w:t xml:space="preserve"> Bank shall develop: (a) an overarching Sustainable Banking policy which defines its commitment and approach to Sustainable Banking and implementation of the Principles; (b) a set of Sustainable Banking procedures which detail how the Bank will manage E&amp;S risk and opportunities consistent with its core business and existing internal decision-making processes; and (c) a Sustainable Banking reporting framework. </w:t>
            </w:r>
          </w:p>
          <w:p w14:paraId="42FF8A1B" w14:textId="7202A730" w:rsidR="00ED7E12" w:rsidRPr="00CF2E7C" w:rsidRDefault="00F468E4" w:rsidP="00CA2851">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Guideline 5 of the</w:t>
            </w:r>
            <w:r w:rsidR="00BB787E">
              <w:rPr>
                <w:rFonts w:ascii="Calibri" w:eastAsia="Times New Roman" w:hAnsi="Calibri" w:cs="Calibri"/>
                <w:kern w:val="0"/>
                <w:lang w:eastAsia="en-GB"/>
                <w14:ligatures w14:val="none"/>
              </w:rPr>
              <w:t xml:space="preserve"> Guidelines</w:t>
            </w:r>
            <w:r>
              <w:rPr>
                <w:rFonts w:ascii="Calibri" w:eastAsia="Times New Roman" w:hAnsi="Calibri" w:cs="Calibri"/>
                <w:kern w:val="0"/>
                <w:lang w:eastAsia="en-GB"/>
                <w14:ligatures w14:val="none"/>
              </w:rPr>
              <w:t xml:space="preserve"> </w:t>
            </w:r>
            <w:r w:rsidR="00CA2851">
              <w:rPr>
                <w:rFonts w:ascii="Calibri" w:eastAsia="Times New Roman" w:hAnsi="Calibri" w:cs="Calibri"/>
                <w:kern w:val="0"/>
                <w:lang w:eastAsia="en-GB"/>
                <w14:ligatures w14:val="none"/>
              </w:rPr>
              <w:t>requires</w:t>
            </w:r>
            <w:r>
              <w:rPr>
                <w:rFonts w:ascii="Calibri" w:eastAsia="Times New Roman" w:hAnsi="Calibri" w:cs="Calibri"/>
                <w:kern w:val="0"/>
                <w:lang w:eastAsia="en-GB"/>
                <w14:ligatures w14:val="none"/>
              </w:rPr>
              <w:t xml:space="preserve"> that b</w:t>
            </w:r>
            <w:r w:rsidRPr="00F468E4">
              <w:rPr>
                <w:rFonts w:ascii="Calibri" w:eastAsia="Times New Roman" w:hAnsi="Calibri" w:cs="Calibri"/>
                <w:kern w:val="0"/>
                <w:lang w:eastAsia="en-GB"/>
                <w14:ligatures w14:val="none"/>
              </w:rPr>
              <w:t>ank</w:t>
            </w:r>
            <w:r>
              <w:rPr>
                <w:rFonts w:ascii="Calibri" w:eastAsia="Times New Roman" w:hAnsi="Calibri" w:cs="Calibri"/>
                <w:kern w:val="0"/>
                <w:lang w:eastAsia="en-GB"/>
                <w14:ligatures w14:val="none"/>
              </w:rPr>
              <w:t xml:space="preserve">s </w:t>
            </w:r>
            <w:r w:rsidRPr="00F468E4">
              <w:rPr>
                <w:rFonts w:ascii="Calibri" w:eastAsia="Times New Roman" w:hAnsi="Calibri" w:cs="Calibri"/>
                <w:kern w:val="0"/>
                <w:lang w:eastAsia="en-GB"/>
                <w14:ligatures w14:val="none"/>
              </w:rPr>
              <w:t>develop a sector specific E&amp;S approach for its Agriculture sector Business Activities as part of its Sustainable Banking policy and E&amp;S management system.</w:t>
            </w:r>
            <w:r>
              <w:rPr>
                <w:rFonts w:ascii="Calibri" w:eastAsia="Times New Roman" w:hAnsi="Calibri" w:cs="Calibri"/>
                <w:kern w:val="0"/>
                <w:lang w:eastAsia="en-GB"/>
                <w14:ligatures w14:val="none"/>
              </w:rPr>
              <w:t xml:space="preserve"> Guideline </w:t>
            </w:r>
            <w:r w:rsidR="006A6B93">
              <w:rPr>
                <w:rFonts w:ascii="Calibri" w:eastAsia="Times New Roman" w:hAnsi="Calibri" w:cs="Calibri"/>
                <w:kern w:val="0"/>
                <w:lang w:eastAsia="en-GB"/>
                <w14:ligatures w14:val="none"/>
              </w:rPr>
              <w:t>7</w:t>
            </w:r>
            <w:r>
              <w:rPr>
                <w:rFonts w:ascii="Calibri" w:eastAsia="Times New Roman" w:hAnsi="Calibri" w:cs="Calibri"/>
                <w:kern w:val="0"/>
                <w:lang w:eastAsia="en-GB"/>
                <w14:ligatures w14:val="none"/>
              </w:rPr>
              <w:t xml:space="preserve"> further provides that </w:t>
            </w:r>
            <w:r w:rsidR="006A6B93" w:rsidRPr="006A6B93">
              <w:rPr>
                <w:rFonts w:ascii="Calibri" w:eastAsia="Times New Roman" w:hAnsi="Calibri" w:cs="Calibri"/>
                <w:kern w:val="0"/>
                <w:lang w:eastAsia="en-GB"/>
                <w14:ligatures w14:val="none"/>
              </w:rPr>
              <w:t>E&amp;S conditions or covenants will be included in the transaction documentation, where appropriate, to ensure E&amp;S risks are monitored and on-going compliance is addressed with the client</w:t>
            </w:r>
            <w:r w:rsidR="006A6B93">
              <w:rPr>
                <w:rFonts w:ascii="Calibri" w:eastAsia="Times New Roman" w:hAnsi="Calibri" w:cs="Calibri"/>
                <w:kern w:val="0"/>
                <w:lang w:eastAsia="en-GB"/>
                <w14:ligatures w14:val="none"/>
              </w:rPr>
              <w:t>s</w:t>
            </w:r>
            <w:r w:rsidR="006A6B93" w:rsidRPr="006A6B93">
              <w:rPr>
                <w:rFonts w:ascii="Calibri" w:eastAsia="Times New Roman" w:hAnsi="Calibri" w:cs="Calibri"/>
                <w:kern w:val="0"/>
                <w:lang w:eastAsia="en-GB"/>
                <w14:ligatures w14:val="none"/>
              </w:rPr>
              <w:t>.</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3513A63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A6B93">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4DDD1F7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A6B93">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62F3C4F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A2851">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3A079B4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A2851">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52C065A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50DD62D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A2851">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5826913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A2851">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6AD4C52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B787E">
              <w:rPr>
                <w:rFonts w:ascii="Calibri" w:eastAsia="Times New Roman" w:hAnsi="Calibri" w:cs="Calibri"/>
                <w:kern w:val="0"/>
                <w:lan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9E28D9" w:rsidR="00C82860" w:rsidRPr="00CF2E7C" w:rsidRDefault="00CA285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2BC97585" w14:textId="77777777" w:rsidR="00BB787E" w:rsidRDefault="00D61E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Under the implementation section of Principle 1 of the </w:t>
            </w:r>
            <w:r w:rsidR="00BB787E">
              <w:rPr>
                <w:rFonts w:ascii="Calibri" w:eastAsia="Times New Roman" w:hAnsi="Calibri" w:cs="Calibri"/>
                <w:kern w:val="0"/>
                <w:lang w:eastAsia="en-GB"/>
                <w14:ligatures w14:val="none"/>
              </w:rPr>
              <w:t>Guidance</w:t>
            </w:r>
            <w:r w:rsidR="00630FF3">
              <w:rPr>
                <w:rFonts w:ascii="Calibri" w:eastAsia="Times New Roman" w:hAnsi="Calibri" w:cs="Calibri"/>
                <w:kern w:val="0"/>
                <w:lang w:eastAsia="en-GB"/>
                <w14:ligatures w14:val="none"/>
              </w:rPr>
              <w:t xml:space="preserve"> </w:t>
            </w:r>
            <w:r w:rsidR="00BB787E">
              <w:rPr>
                <w:rFonts w:ascii="Calibri" w:eastAsia="Times New Roman" w:hAnsi="Calibri" w:cs="Calibri"/>
                <w:kern w:val="0"/>
                <w:lang w:eastAsia="en-GB"/>
                <w14:ligatures w14:val="none"/>
              </w:rPr>
              <w:t>N</w:t>
            </w:r>
            <w:r w:rsidR="00630FF3">
              <w:rPr>
                <w:rFonts w:ascii="Calibri" w:eastAsia="Times New Roman" w:hAnsi="Calibri" w:cs="Calibri"/>
                <w:kern w:val="0"/>
                <w:lang w:eastAsia="en-GB"/>
                <w14:ligatures w14:val="none"/>
              </w:rPr>
              <w:t>otes</w:t>
            </w:r>
            <w:r>
              <w:rPr>
                <w:rFonts w:ascii="Calibri" w:eastAsia="Times New Roman" w:hAnsi="Calibri" w:cs="Calibri"/>
                <w:kern w:val="0"/>
                <w:lang w:eastAsia="en-GB"/>
                <w14:ligatures w14:val="none"/>
              </w:rPr>
              <w:t>, w</w:t>
            </w:r>
            <w:r w:rsidRPr="00D61E96">
              <w:rPr>
                <w:rFonts w:ascii="Calibri" w:eastAsia="Times New Roman" w:hAnsi="Calibri" w:cs="Calibri"/>
                <w:kern w:val="0"/>
                <w:lang w:eastAsia="en-GB"/>
                <w14:ligatures w14:val="none"/>
              </w:rPr>
              <w:t xml:space="preserve">here E&amp;S risks are identified and can be managed or mitigated, a Bank may formally agree the necessary actions with the client before disbursement of funds (e.g. requiring covenanting of E&amp;S management action plans in loan documentation, or appropriate E&amp;S risk disclosures in prospectuses and offering circulars). </w:t>
            </w:r>
          </w:p>
          <w:p w14:paraId="4DEB14D8" w14:textId="7CF706B6" w:rsidR="00C82860" w:rsidRPr="00CF2E7C" w:rsidRDefault="00D61E96" w:rsidP="00CF2E7C">
            <w:pPr>
              <w:textAlignment w:val="baseline"/>
              <w:rPr>
                <w:rFonts w:ascii="Calibri" w:eastAsia="Times New Roman" w:hAnsi="Calibri" w:cs="Calibri"/>
                <w:kern w:val="0"/>
                <w:lang w:eastAsia="en-GB"/>
                <w14:ligatures w14:val="none"/>
              </w:rPr>
            </w:pPr>
            <w:r w:rsidRPr="00D61E96">
              <w:rPr>
                <w:rFonts w:ascii="Calibri" w:eastAsia="Times New Roman" w:hAnsi="Calibri" w:cs="Calibri"/>
                <w:kern w:val="0"/>
                <w:lang w:eastAsia="en-GB"/>
                <w14:ligatures w14:val="none"/>
              </w:rPr>
              <w:t>The review of E&amp;S conditions and requirements should be integrated into client relationship, credit approval review procedures, the issuance of financing agreements and on-going review and monitoring processes.</w:t>
            </w:r>
            <w:r>
              <w:rPr>
                <w:rFonts w:ascii="Calibri" w:eastAsia="Times New Roman" w:hAnsi="Calibri" w:cs="Calibri"/>
                <w:kern w:val="0"/>
                <w:lang w:eastAsia="en-GB"/>
                <w14:ligatures w14:val="none"/>
              </w:rPr>
              <w:t xml:space="preserve"> </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5F781F50" w:rsidR="00C82860" w:rsidRPr="00CF2E7C" w:rsidRDefault="00A03F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6883836E" w14:textId="5042B602" w:rsidR="00630FF3" w:rsidRDefault="00B63587" w:rsidP="00B63587">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Guideline 6 of the </w:t>
            </w:r>
            <w:r w:rsidR="00BB787E">
              <w:rPr>
                <w:rFonts w:ascii="Calibri" w:eastAsia="Times New Roman" w:hAnsi="Calibri" w:cs="Calibri"/>
                <w:kern w:val="0"/>
                <w:lang w:eastAsia="en-GB"/>
                <w14:ligatures w14:val="none"/>
              </w:rPr>
              <w:t xml:space="preserve">Guidelines </w:t>
            </w:r>
            <w:r>
              <w:rPr>
                <w:rFonts w:ascii="Calibri" w:eastAsia="Times New Roman" w:hAnsi="Calibri" w:cs="Calibri"/>
                <w:kern w:val="0"/>
                <w:lang w:eastAsia="en-GB"/>
                <w14:ligatures w14:val="none"/>
              </w:rPr>
              <w:t xml:space="preserve">provides for </w:t>
            </w:r>
            <w:r w:rsidRPr="00B63587">
              <w:rPr>
                <w:rFonts w:ascii="Calibri" w:eastAsia="Times New Roman" w:hAnsi="Calibri" w:cs="Calibri"/>
                <w:kern w:val="0"/>
                <w:lang w:eastAsia="en-GB"/>
                <w14:ligatures w14:val="none"/>
              </w:rPr>
              <w:t xml:space="preserve">E&amp;S </w:t>
            </w:r>
            <w:r>
              <w:rPr>
                <w:rFonts w:ascii="Calibri" w:eastAsia="Times New Roman" w:hAnsi="Calibri" w:cs="Calibri"/>
                <w:kern w:val="0"/>
                <w:lang w:eastAsia="en-GB"/>
                <w14:ligatures w14:val="none"/>
              </w:rPr>
              <w:t>r</w:t>
            </w:r>
            <w:r w:rsidRPr="00B63587">
              <w:rPr>
                <w:rFonts w:ascii="Calibri" w:eastAsia="Times New Roman" w:hAnsi="Calibri" w:cs="Calibri"/>
                <w:kern w:val="0"/>
                <w:lang w:eastAsia="en-GB"/>
                <w14:ligatures w14:val="none"/>
              </w:rPr>
              <w:t xml:space="preserve">isk </w:t>
            </w:r>
            <w:r>
              <w:rPr>
                <w:rFonts w:ascii="Calibri" w:eastAsia="Times New Roman" w:hAnsi="Calibri" w:cs="Calibri"/>
                <w:kern w:val="0"/>
                <w:lang w:eastAsia="en-GB"/>
                <w14:ligatures w14:val="none"/>
              </w:rPr>
              <w:t>c</w:t>
            </w:r>
            <w:r w:rsidRPr="00B63587">
              <w:rPr>
                <w:rFonts w:ascii="Calibri" w:eastAsia="Times New Roman" w:hAnsi="Calibri" w:cs="Calibri"/>
                <w:kern w:val="0"/>
                <w:lang w:eastAsia="en-GB"/>
                <w14:ligatures w14:val="none"/>
              </w:rPr>
              <w:t xml:space="preserve">ategorisation of </w:t>
            </w:r>
            <w:r>
              <w:rPr>
                <w:rFonts w:ascii="Calibri" w:eastAsia="Times New Roman" w:hAnsi="Calibri" w:cs="Calibri"/>
                <w:kern w:val="0"/>
                <w:lang w:eastAsia="en-GB"/>
                <w14:ligatures w14:val="none"/>
              </w:rPr>
              <w:t>a</w:t>
            </w:r>
            <w:r w:rsidRPr="00B63587">
              <w:rPr>
                <w:rFonts w:ascii="Calibri" w:eastAsia="Times New Roman" w:hAnsi="Calibri" w:cs="Calibri"/>
                <w:kern w:val="0"/>
                <w:lang w:eastAsia="en-GB"/>
                <w14:ligatures w14:val="none"/>
              </w:rPr>
              <w:t xml:space="preserve">griculture </w:t>
            </w:r>
            <w:r>
              <w:rPr>
                <w:rFonts w:ascii="Calibri" w:eastAsia="Times New Roman" w:hAnsi="Calibri" w:cs="Calibri"/>
                <w:kern w:val="0"/>
                <w:lang w:eastAsia="en-GB"/>
                <w14:ligatures w14:val="none"/>
              </w:rPr>
              <w:t>s</w:t>
            </w:r>
            <w:r w:rsidRPr="00B63587">
              <w:rPr>
                <w:rFonts w:ascii="Calibri" w:eastAsia="Times New Roman" w:hAnsi="Calibri" w:cs="Calibri"/>
                <w:kern w:val="0"/>
                <w:lang w:eastAsia="en-GB"/>
                <w14:ligatures w14:val="none"/>
              </w:rPr>
              <w:t xml:space="preserve">ector </w:t>
            </w:r>
            <w:r>
              <w:rPr>
                <w:rFonts w:ascii="Calibri" w:eastAsia="Times New Roman" w:hAnsi="Calibri" w:cs="Calibri"/>
                <w:kern w:val="0"/>
                <w:lang w:eastAsia="en-GB"/>
                <w14:ligatures w14:val="none"/>
              </w:rPr>
              <w:t>i</w:t>
            </w:r>
            <w:r w:rsidRPr="00B63587">
              <w:rPr>
                <w:rFonts w:ascii="Calibri" w:eastAsia="Times New Roman" w:hAnsi="Calibri" w:cs="Calibri"/>
                <w:kern w:val="0"/>
                <w:lang w:eastAsia="en-GB"/>
                <w14:ligatures w14:val="none"/>
              </w:rPr>
              <w:t>nvestments</w:t>
            </w:r>
            <w:r>
              <w:rPr>
                <w:rFonts w:ascii="Calibri" w:eastAsia="Times New Roman" w:hAnsi="Calibri" w:cs="Calibri"/>
                <w:kern w:val="0"/>
                <w:lang w:eastAsia="en-GB"/>
                <w14:ligatures w14:val="none"/>
              </w:rPr>
              <w:t xml:space="preserve">. The </w:t>
            </w:r>
            <w:r w:rsidR="00BB787E">
              <w:rPr>
                <w:rFonts w:ascii="Calibri" w:eastAsia="Times New Roman" w:hAnsi="Calibri" w:cs="Calibri"/>
                <w:kern w:val="0"/>
                <w:lang w:eastAsia="en-GB"/>
                <w14:ligatures w14:val="none"/>
              </w:rPr>
              <w:t>G</w:t>
            </w:r>
            <w:r>
              <w:rPr>
                <w:rFonts w:ascii="Calibri" w:eastAsia="Times New Roman" w:hAnsi="Calibri" w:cs="Calibri"/>
                <w:kern w:val="0"/>
                <w:lang w:eastAsia="en-GB"/>
                <w14:ligatures w14:val="none"/>
              </w:rPr>
              <w:t>uidelines further provides that t</w:t>
            </w:r>
            <w:r w:rsidRPr="00B63587">
              <w:rPr>
                <w:rFonts w:ascii="Calibri" w:eastAsia="Times New Roman" w:hAnsi="Calibri" w:cs="Calibri"/>
                <w:kern w:val="0"/>
                <w:lang w:eastAsia="en-GB"/>
                <w14:ligatures w14:val="none"/>
              </w:rPr>
              <w:t>he purpose of categorising the risk of a potential transaction is to guide banks on the degree of E&amp;S due diligence required to inform credit risk approval or underwriting decision-making and the appropriate level of E&amp;S risk management and monitoring oversight that should be applied to the loan.</w:t>
            </w:r>
          </w:p>
          <w:p w14:paraId="5464A3A5" w14:textId="018D2715" w:rsidR="00C82860" w:rsidRPr="00CF2E7C" w:rsidRDefault="00B63587" w:rsidP="00B63587">
            <w:pPr>
              <w:jc w:val="both"/>
              <w:textAlignment w:val="baseline"/>
              <w:rPr>
                <w:rFonts w:ascii="Calibri" w:eastAsia="Times New Roman" w:hAnsi="Calibri" w:cs="Calibri"/>
                <w:kern w:val="0"/>
                <w:lang w:eastAsia="en-GB"/>
                <w14:ligatures w14:val="none"/>
              </w:rPr>
            </w:pPr>
            <w:r w:rsidRPr="00B63587">
              <w:rPr>
                <w:rFonts w:ascii="Calibri" w:eastAsia="Times New Roman" w:hAnsi="Calibri" w:cs="Calibri"/>
                <w:kern w:val="0"/>
                <w:lang w:eastAsia="en-GB"/>
                <w14:ligatures w14:val="none"/>
              </w:rPr>
              <w:t>A high-risk transaction is one where activities carry potential significant adverse E&amp;S risks and/or impacts that are diverse, irreversible, or unprecedented.</w:t>
            </w:r>
            <w:r>
              <w:rPr>
                <w:rFonts w:ascii="Calibri" w:eastAsia="Times New Roman" w:hAnsi="Calibri" w:cs="Calibri"/>
                <w:kern w:val="0"/>
                <w:lang w:eastAsia="en-GB"/>
                <w14:ligatures w14:val="none"/>
              </w:rPr>
              <w:t xml:space="preserve"> </w:t>
            </w:r>
            <w:r w:rsidRPr="00B63587">
              <w:rPr>
                <w:rFonts w:ascii="Calibri" w:eastAsia="Times New Roman" w:hAnsi="Calibri" w:cs="Calibri"/>
                <w:kern w:val="0"/>
                <w:lang w:eastAsia="en-GB"/>
                <w14:ligatures w14:val="none"/>
              </w:rPr>
              <w:t>A medium-risk transaction is one where activities carry potential limited adverse E&amp;S risks and/or impacts that are few in number, generally site-specific, largely reversible and readily addressed through mitigation measures.</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7EE40C8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B448C">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0DC17AA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B448C">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28A0F0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B448C">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156FAD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B448C">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lastRenderedPageBreak/>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0FC76EBA" w:rsidR="00F26296" w:rsidRPr="00CF2E7C" w:rsidRDefault="000A500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0EF9B8D"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A500C">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332F631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A500C">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62735173" w:rsidR="00B114FD" w:rsidRPr="00CF2E7C" w:rsidRDefault="000A500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1855F0EC" w:rsidR="00B114FD" w:rsidRPr="00CF2E7C" w:rsidRDefault="00FF70A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Guideline 4</w:t>
            </w:r>
            <w:r w:rsidR="00630FF3">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paragraph 9 provides that banks e</w:t>
            </w:r>
            <w:r w:rsidRPr="00FF70AE">
              <w:rPr>
                <w:rFonts w:ascii="Calibri" w:eastAsia="Times New Roman" w:hAnsi="Calibri" w:cs="Calibri"/>
                <w:kern w:val="0"/>
                <w:lang w:eastAsia="en-GB"/>
                <w14:ligatures w14:val="none"/>
              </w:rPr>
              <w:t>ndeavour to lend to farmers whose products have off takers and whose farming practices protect the environment e.g. minimise the use of harmful chemicals/pesticides, efficient use of water resources, adoption of conservation farming technologies etc.</w:t>
            </w: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2295A8A4" w:rsidR="00B114FD" w:rsidRPr="00CF2E7C" w:rsidRDefault="00FF70A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2FE5DF4C" w14:textId="16D57F94" w:rsidR="00702413" w:rsidRPr="009C4D10" w:rsidRDefault="00BB787E"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6D733B30" w14:textId="77777777" w:rsidR="00DE5A98" w:rsidRDefault="00DE5A98" w:rsidP="00DE5A98">
            <w:pPr>
              <w:textAlignment w:val="baseline"/>
              <w:rPr>
                <w:rFonts w:eastAsia="Times New Roman" w:cstheme="minorHAnsi"/>
                <w:kern w:val="0"/>
                <w:lang w:eastAsia="en-GB"/>
                <w14:ligatures w14:val="none"/>
              </w:rPr>
            </w:pPr>
            <w:r w:rsidRPr="00DE5A98">
              <w:rPr>
                <w:rFonts w:eastAsia="Times New Roman" w:cstheme="minorHAnsi"/>
                <w:kern w:val="0"/>
                <w:lang w:eastAsia="en-GB"/>
                <w14:ligatures w14:val="none"/>
              </w:rPr>
              <w:t>The Nigerian Sustainable Banking Principles (NSB</w:t>
            </w:r>
            <w:r>
              <w:rPr>
                <w:rFonts w:eastAsia="Times New Roman" w:cstheme="minorHAnsi"/>
                <w:kern w:val="0"/>
                <w:lang w:eastAsia="en-GB"/>
                <w14:ligatures w14:val="none"/>
              </w:rPr>
              <w:t>P) faces certain</w:t>
            </w:r>
            <w:r w:rsidRPr="00DE5A98">
              <w:rPr>
                <w:rFonts w:eastAsia="Times New Roman" w:cstheme="minorHAnsi"/>
                <w:kern w:val="0"/>
                <w:lang w:eastAsia="en-GB"/>
                <w14:ligatures w14:val="none"/>
              </w:rPr>
              <w:t xml:space="preserve"> challenges in managing climate-related financial risks in </w:t>
            </w:r>
            <w:r>
              <w:rPr>
                <w:rFonts w:eastAsia="Times New Roman" w:cstheme="minorHAnsi"/>
                <w:kern w:val="0"/>
                <w:lang w:eastAsia="en-GB"/>
                <w14:ligatures w14:val="none"/>
              </w:rPr>
              <w:t xml:space="preserve">the </w:t>
            </w:r>
            <w:r w:rsidRPr="00DE5A98">
              <w:rPr>
                <w:rFonts w:eastAsia="Times New Roman" w:cstheme="minorHAnsi"/>
                <w:kern w:val="0"/>
                <w:lang w:eastAsia="en-GB"/>
                <w14:ligatures w14:val="none"/>
              </w:rPr>
              <w:t>agriculture</w:t>
            </w:r>
            <w:r>
              <w:rPr>
                <w:rFonts w:eastAsia="Times New Roman" w:cstheme="minorHAnsi"/>
                <w:kern w:val="0"/>
                <w:lang w:eastAsia="en-GB"/>
                <w14:ligatures w14:val="none"/>
              </w:rPr>
              <w:t xml:space="preserve"> sector</w:t>
            </w:r>
            <w:r w:rsidRPr="00DE5A98">
              <w:rPr>
                <w:rFonts w:eastAsia="Times New Roman" w:cstheme="minorHAnsi"/>
                <w:kern w:val="0"/>
                <w:lang w:eastAsia="en-GB"/>
                <w14:ligatures w14:val="none"/>
              </w:rPr>
              <w:t xml:space="preserve">, including poor climate risk data, weak enforcement, and banks’ limited capacity to assess environmental risks. </w:t>
            </w:r>
          </w:p>
          <w:p w14:paraId="47BBF726" w14:textId="77777777" w:rsidR="00DE5A98" w:rsidRDefault="00DE5A98" w:rsidP="00DE5A98">
            <w:pPr>
              <w:textAlignment w:val="baseline"/>
              <w:rPr>
                <w:rFonts w:eastAsia="Times New Roman" w:cstheme="minorHAnsi"/>
                <w:kern w:val="0"/>
                <w:lang w:eastAsia="en-GB"/>
                <w14:ligatures w14:val="none"/>
              </w:rPr>
            </w:pPr>
            <w:r w:rsidRPr="00DE5A98">
              <w:rPr>
                <w:rFonts w:eastAsia="Times New Roman" w:cstheme="minorHAnsi"/>
                <w:kern w:val="0"/>
                <w:lang w:eastAsia="en-GB"/>
                <w14:ligatures w14:val="none"/>
              </w:rPr>
              <w:t>Many financial institutions</w:t>
            </w:r>
            <w:r>
              <w:rPr>
                <w:rFonts w:eastAsia="Times New Roman" w:cstheme="minorHAnsi"/>
                <w:kern w:val="0"/>
                <w:lang w:eastAsia="en-GB"/>
                <w14:ligatures w14:val="none"/>
              </w:rPr>
              <w:t xml:space="preserve"> may</w:t>
            </w:r>
            <w:r w:rsidRPr="00DE5A98">
              <w:rPr>
                <w:rFonts w:eastAsia="Times New Roman" w:cstheme="minorHAnsi"/>
                <w:kern w:val="0"/>
                <w:lang w:eastAsia="en-GB"/>
                <w14:ligatures w14:val="none"/>
              </w:rPr>
              <w:t xml:space="preserve"> also see green lending as less profitable, while frequent climate shocks (like floods and droughts) heighten loan risks. Additionally, </w:t>
            </w:r>
            <w:r>
              <w:rPr>
                <w:rFonts w:eastAsia="Times New Roman" w:cstheme="minorHAnsi"/>
                <w:kern w:val="0"/>
                <w:lang w:eastAsia="en-GB"/>
                <w14:ligatures w14:val="none"/>
              </w:rPr>
              <w:t xml:space="preserve">a </w:t>
            </w:r>
            <w:r w:rsidRPr="00DE5A98">
              <w:rPr>
                <w:rFonts w:eastAsia="Times New Roman" w:cstheme="minorHAnsi"/>
                <w:kern w:val="0"/>
                <w:lang w:eastAsia="en-GB"/>
                <w14:ligatures w14:val="none"/>
              </w:rPr>
              <w:t xml:space="preserve">lack of clear regulatory incentives and inconsistent coordination between agencies </w:t>
            </w:r>
            <w:r>
              <w:rPr>
                <w:rFonts w:eastAsia="Times New Roman" w:cstheme="minorHAnsi"/>
                <w:kern w:val="0"/>
                <w:lang w:eastAsia="en-GB"/>
                <w14:ligatures w14:val="none"/>
              </w:rPr>
              <w:t xml:space="preserve">may </w:t>
            </w:r>
            <w:r w:rsidRPr="00DE5A98">
              <w:rPr>
                <w:rFonts w:eastAsia="Times New Roman" w:cstheme="minorHAnsi"/>
                <w:kern w:val="0"/>
                <w:lang w:eastAsia="en-GB"/>
                <w14:ligatures w14:val="none"/>
              </w:rPr>
              <w:t>slow</w:t>
            </w:r>
            <w:r>
              <w:rPr>
                <w:rFonts w:eastAsia="Times New Roman" w:cstheme="minorHAnsi"/>
                <w:kern w:val="0"/>
                <w:lang w:eastAsia="en-GB"/>
                <w14:ligatures w14:val="none"/>
              </w:rPr>
              <w:t xml:space="preserve"> </w:t>
            </w:r>
            <w:r w:rsidRPr="00DE5A98">
              <w:rPr>
                <w:rFonts w:eastAsia="Times New Roman" w:cstheme="minorHAnsi"/>
                <w:kern w:val="0"/>
                <w:lang w:eastAsia="en-GB"/>
                <w14:ligatures w14:val="none"/>
              </w:rPr>
              <w:t xml:space="preserve">down effective implementation. </w:t>
            </w:r>
          </w:p>
          <w:p w14:paraId="718D87F5" w14:textId="3CFFFBF5" w:rsidR="00702413" w:rsidRPr="009C4D10" w:rsidRDefault="00DE5A98" w:rsidP="00DE5A98">
            <w:pPr>
              <w:textAlignment w:val="baseline"/>
              <w:rPr>
                <w:rFonts w:eastAsia="Times New Roman" w:cstheme="minorHAnsi"/>
                <w:kern w:val="0"/>
                <w:lang w:eastAsia="en-GB"/>
                <w14:ligatures w14:val="none"/>
              </w:rPr>
            </w:pPr>
            <w:r w:rsidRPr="00DE5A98">
              <w:rPr>
                <w:rFonts w:eastAsia="Times New Roman" w:cstheme="minorHAnsi"/>
                <w:kern w:val="0"/>
                <w:lang w:eastAsia="en-GB"/>
                <w14:ligatures w14:val="none"/>
              </w:rPr>
              <w:t xml:space="preserve">Without stronger policies and tools, banks </w:t>
            </w:r>
            <w:r>
              <w:rPr>
                <w:rFonts w:eastAsia="Times New Roman" w:cstheme="minorHAnsi"/>
                <w:kern w:val="0"/>
                <w:lang w:eastAsia="en-GB"/>
                <w14:ligatures w14:val="none"/>
              </w:rPr>
              <w:t xml:space="preserve">may </w:t>
            </w:r>
            <w:r w:rsidRPr="00DE5A98">
              <w:rPr>
                <w:rFonts w:eastAsia="Times New Roman" w:cstheme="minorHAnsi"/>
                <w:kern w:val="0"/>
                <w:lang w:eastAsia="en-GB"/>
                <w14:ligatures w14:val="none"/>
              </w:rPr>
              <w:t>remain hesitant to fully adopt climate-sensitive prudential measures.</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2DAFB05D" w:rsidR="00FE0EA5" w:rsidRPr="009C4D10" w:rsidRDefault="00FE0EA5" w:rsidP="00CF2E7C">
            <w:pPr>
              <w:rPr>
                <w:rFonts w:cstheme="minorHAnsi"/>
              </w:rPr>
            </w:pPr>
            <w:r w:rsidRPr="009C4D10">
              <w:rPr>
                <w:rFonts w:cstheme="minorHAnsi"/>
                <w:lang w:val="en-SG"/>
              </w:rPr>
              <w:t> </w:t>
            </w:r>
            <w:r w:rsidRPr="009C4D10">
              <w:rPr>
                <w:rFonts w:cstheme="minorHAnsi"/>
              </w:rPr>
              <w:t> </w:t>
            </w:r>
            <w:r w:rsidR="00350F7C">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480DBA00" w:rsidR="00FE0EA5" w:rsidRPr="009C4D10" w:rsidRDefault="00FE0EA5" w:rsidP="00CF2E7C">
            <w:pPr>
              <w:rPr>
                <w:rFonts w:cstheme="minorHAnsi"/>
              </w:rPr>
            </w:pPr>
            <w:r w:rsidRPr="009C4D10">
              <w:rPr>
                <w:rFonts w:cstheme="minorHAnsi"/>
                <w:lang w:val="en-SG"/>
              </w:rPr>
              <w:t> </w:t>
            </w:r>
            <w:r w:rsidRPr="009C4D10">
              <w:rPr>
                <w:rFonts w:cstheme="minorHAnsi"/>
              </w:rPr>
              <w:t> </w:t>
            </w:r>
            <w:r w:rsidR="00350F7C">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DD3EAC" w:rsidP="00CF2E7C">
            <w:pPr>
              <w:rPr>
                <w:rFonts w:cstheme="minorHAnsi"/>
              </w:rPr>
            </w:pPr>
            <w:hyperlink r:id="rId22"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51A56026" w:rsidR="00FE0EA5" w:rsidRPr="009C4D10" w:rsidRDefault="00FE0EA5" w:rsidP="00CF2E7C">
            <w:pPr>
              <w:rPr>
                <w:rFonts w:cstheme="minorHAnsi"/>
              </w:rPr>
            </w:pPr>
            <w:r w:rsidRPr="009C4D10">
              <w:rPr>
                <w:rFonts w:cstheme="minorHAnsi"/>
                <w:lang w:val="en-SG"/>
              </w:rPr>
              <w:t> </w:t>
            </w:r>
            <w:r w:rsidRPr="009C4D10">
              <w:rPr>
                <w:rFonts w:cstheme="minorHAnsi"/>
              </w:rPr>
              <w:t> </w:t>
            </w:r>
            <w:r w:rsidR="00350F7C">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DD3EAC" w:rsidP="00CF2E7C">
            <w:pPr>
              <w:rPr>
                <w:rFonts w:cstheme="minorHAnsi"/>
              </w:rPr>
            </w:pPr>
            <w:hyperlink r:id="rId23"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50667CF4" w:rsidR="00FE0EA5" w:rsidRPr="009C4D10" w:rsidRDefault="00FE0EA5" w:rsidP="00CF2E7C">
            <w:pPr>
              <w:rPr>
                <w:rFonts w:cstheme="minorHAnsi"/>
              </w:rPr>
            </w:pPr>
            <w:r w:rsidRPr="009C4D10">
              <w:rPr>
                <w:rFonts w:cstheme="minorHAnsi"/>
                <w:lang w:val="en-SG"/>
              </w:rPr>
              <w:t> </w:t>
            </w:r>
            <w:r w:rsidRPr="009C4D10">
              <w:rPr>
                <w:rFonts w:cstheme="minorHAnsi"/>
              </w:rPr>
              <w:t> </w:t>
            </w:r>
            <w:r w:rsidR="00350F7C">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06D46CBE" w:rsidR="00FE0EA5" w:rsidRPr="009C4D10" w:rsidRDefault="00FE0EA5" w:rsidP="00CF2E7C">
            <w:pPr>
              <w:rPr>
                <w:rFonts w:cstheme="minorHAnsi"/>
              </w:rPr>
            </w:pPr>
            <w:r w:rsidRPr="009C4D10">
              <w:rPr>
                <w:rFonts w:cstheme="minorHAnsi"/>
                <w:lang w:val="en-SG"/>
              </w:rPr>
              <w:t> </w:t>
            </w:r>
            <w:r w:rsidRPr="009C4D10">
              <w:rPr>
                <w:rFonts w:cstheme="minorHAnsi"/>
              </w:rPr>
              <w:t> </w:t>
            </w:r>
            <w:r w:rsidR="00350F7C">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1E5C6F2C" w:rsidR="00FE0EA5" w:rsidRPr="009C4D10" w:rsidRDefault="00FE0EA5" w:rsidP="00CF2E7C">
            <w:pPr>
              <w:rPr>
                <w:rFonts w:cstheme="minorHAnsi"/>
              </w:rPr>
            </w:pPr>
            <w:r w:rsidRPr="009C4D10">
              <w:rPr>
                <w:rFonts w:cstheme="minorHAnsi"/>
              </w:rPr>
              <w:t>  </w:t>
            </w:r>
            <w:r w:rsidR="00350F7C">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5B219CA9" w:rsidR="00FE0EA5" w:rsidRPr="009C4D10" w:rsidRDefault="00FE0EA5" w:rsidP="00CF2E7C">
            <w:pPr>
              <w:rPr>
                <w:rFonts w:cstheme="minorHAnsi"/>
              </w:rPr>
            </w:pPr>
            <w:r w:rsidRPr="009C4D10">
              <w:rPr>
                <w:rFonts w:cstheme="minorHAnsi"/>
                <w:lang w:val="en-SG"/>
              </w:rPr>
              <w:t> </w:t>
            </w:r>
            <w:r w:rsidRPr="009C4D10">
              <w:rPr>
                <w:rFonts w:cstheme="minorHAnsi"/>
              </w:rPr>
              <w:t> </w:t>
            </w:r>
            <w:r w:rsidR="00350F7C">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0EADFAFB" w:rsidR="00C01AF9" w:rsidRPr="009C4D10" w:rsidRDefault="00350F7C" w:rsidP="00CF2E7C">
            <w:pPr>
              <w:rPr>
                <w:rFonts w:cstheme="minorHAnsi"/>
              </w:rPr>
            </w:pPr>
            <w:r w:rsidRPr="00350F7C">
              <w:rPr>
                <w:rFonts w:cstheme="minorHAnsi"/>
              </w:rPr>
              <w:t>The UN Global Reporting Initiativ</w:t>
            </w:r>
            <w:r>
              <w:rPr>
                <w:rFonts w:cstheme="minorHAnsi"/>
              </w:rPr>
              <w:t>e (</w:t>
            </w:r>
            <w:r w:rsidRPr="00350F7C">
              <w:rPr>
                <w:rFonts w:cstheme="minorHAnsi"/>
              </w:rPr>
              <w:t>GRI</w:t>
            </w:r>
            <w:r>
              <w:rPr>
                <w:rFonts w:cstheme="minorHAnsi"/>
              </w:rPr>
              <w:t>)</w:t>
            </w:r>
            <w:r w:rsidRPr="00350F7C">
              <w:rPr>
                <w:rFonts w:cstheme="minorHAnsi"/>
              </w:rPr>
              <w:t xml:space="preserve"> </w:t>
            </w:r>
            <w:hyperlink r:id="rId24" w:history="1">
              <w:r w:rsidRPr="00ED6CB0">
                <w:rPr>
                  <w:rStyle w:val="Hyperlink"/>
                  <w:rFonts w:cstheme="minorHAnsi"/>
                </w:rPr>
                <w:t>www.globalreporting.org</w:t>
              </w:r>
            </w:hyperlink>
            <w:r>
              <w:rPr>
                <w:rFonts w:cstheme="minorHAnsi"/>
              </w:rPr>
              <w:t xml:space="preserve"> </w:t>
            </w: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3F0FB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A8FC36" w14:textId="77777777" w:rsidR="00DD3EAC" w:rsidRDefault="00DD3EAC" w:rsidP="00874E39">
      <w:r>
        <w:separator/>
      </w:r>
    </w:p>
  </w:endnote>
  <w:endnote w:type="continuationSeparator" w:id="0">
    <w:p w14:paraId="407CB9C0" w14:textId="77777777" w:rsidR="00DD3EAC" w:rsidRDefault="00DD3EAC" w:rsidP="00874E39">
      <w:r>
        <w:continuationSeparator/>
      </w:r>
    </w:p>
  </w:endnote>
  <w:endnote w:type="continuationNotice" w:id="1">
    <w:p w14:paraId="6635E151" w14:textId="77777777" w:rsidR="00DD3EAC" w:rsidRDefault="00DD3E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oel="http://schemas.microsoft.com/office/2019/extlst" xmlns:w16du="http://schemas.microsoft.com/office/word/2023/wordml/word16du" xmlns:w16sdtfl="http://schemas.microsoft.com/office/word/2024/wordml/sdtformatlo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2313AF" w14:textId="77777777" w:rsidR="00DD3EAC" w:rsidRDefault="00DD3EAC" w:rsidP="00874E39">
      <w:r>
        <w:separator/>
      </w:r>
    </w:p>
  </w:footnote>
  <w:footnote w:type="continuationSeparator" w:id="0">
    <w:p w14:paraId="48AC9FFE" w14:textId="77777777" w:rsidR="00DD3EAC" w:rsidRDefault="00DD3EAC" w:rsidP="00874E39">
      <w:r>
        <w:continuationSeparator/>
      </w:r>
    </w:p>
  </w:footnote>
  <w:footnote w:type="continuationNotice" w:id="1">
    <w:p w14:paraId="2AF35D55" w14:textId="77777777" w:rsidR="00DD3EAC" w:rsidRDefault="00DD3EA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6EC256" w14:textId="77777777" w:rsidR="004D2A7C" w:rsidRDefault="004D2A7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9C474F" w14:textId="77777777" w:rsidR="004D2A7C" w:rsidRDefault="004D2A7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1"/>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6AF"/>
    <w:rsid w:val="000237AB"/>
    <w:rsid w:val="0002480B"/>
    <w:rsid w:val="00024B36"/>
    <w:rsid w:val="00024B46"/>
    <w:rsid w:val="00025699"/>
    <w:rsid w:val="00026EED"/>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5AA"/>
    <w:rsid w:val="000A1828"/>
    <w:rsid w:val="000A1917"/>
    <w:rsid w:val="000A1C25"/>
    <w:rsid w:val="000A3C19"/>
    <w:rsid w:val="000A3D02"/>
    <w:rsid w:val="000A500C"/>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47C3"/>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5ABA"/>
    <w:rsid w:val="0011644D"/>
    <w:rsid w:val="00116A94"/>
    <w:rsid w:val="001174BF"/>
    <w:rsid w:val="001206CE"/>
    <w:rsid w:val="0012148C"/>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104"/>
    <w:rsid w:val="00156468"/>
    <w:rsid w:val="00156AE2"/>
    <w:rsid w:val="00156CD5"/>
    <w:rsid w:val="0015734C"/>
    <w:rsid w:val="0016002C"/>
    <w:rsid w:val="00160486"/>
    <w:rsid w:val="001604B3"/>
    <w:rsid w:val="00161D1B"/>
    <w:rsid w:val="001623C4"/>
    <w:rsid w:val="00162CC0"/>
    <w:rsid w:val="00164519"/>
    <w:rsid w:val="00172B85"/>
    <w:rsid w:val="00173D7C"/>
    <w:rsid w:val="0017449C"/>
    <w:rsid w:val="001749C3"/>
    <w:rsid w:val="00176011"/>
    <w:rsid w:val="00180289"/>
    <w:rsid w:val="00182288"/>
    <w:rsid w:val="00182646"/>
    <w:rsid w:val="00183170"/>
    <w:rsid w:val="00184609"/>
    <w:rsid w:val="00185C8C"/>
    <w:rsid w:val="00187326"/>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314"/>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4D0"/>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2A5"/>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505"/>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9FB"/>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28D3"/>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0F7C"/>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1A73"/>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01"/>
    <w:rsid w:val="003C16DA"/>
    <w:rsid w:val="003C2506"/>
    <w:rsid w:val="003C5BA2"/>
    <w:rsid w:val="003D111D"/>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146"/>
    <w:rsid w:val="003F4908"/>
    <w:rsid w:val="003F5B6F"/>
    <w:rsid w:val="003F680F"/>
    <w:rsid w:val="00400800"/>
    <w:rsid w:val="00401843"/>
    <w:rsid w:val="004024D0"/>
    <w:rsid w:val="004026E9"/>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19FE"/>
    <w:rsid w:val="00432DF0"/>
    <w:rsid w:val="00432E52"/>
    <w:rsid w:val="00433033"/>
    <w:rsid w:val="004333DA"/>
    <w:rsid w:val="00433B13"/>
    <w:rsid w:val="00434724"/>
    <w:rsid w:val="00434B6A"/>
    <w:rsid w:val="0043666A"/>
    <w:rsid w:val="00436F24"/>
    <w:rsid w:val="0043774D"/>
    <w:rsid w:val="00437B11"/>
    <w:rsid w:val="004405AC"/>
    <w:rsid w:val="004419AC"/>
    <w:rsid w:val="00442FF4"/>
    <w:rsid w:val="004434D5"/>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656"/>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4D77"/>
    <w:rsid w:val="004B666D"/>
    <w:rsid w:val="004B739E"/>
    <w:rsid w:val="004B77AB"/>
    <w:rsid w:val="004C006D"/>
    <w:rsid w:val="004C20B7"/>
    <w:rsid w:val="004C3866"/>
    <w:rsid w:val="004C3A52"/>
    <w:rsid w:val="004C41EB"/>
    <w:rsid w:val="004C6739"/>
    <w:rsid w:val="004C70AC"/>
    <w:rsid w:val="004D2730"/>
    <w:rsid w:val="004D2A7C"/>
    <w:rsid w:val="004D3416"/>
    <w:rsid w:val="004D5810"/>
    <w:rsid w:val="004D6484"/>
    <w:rsid w:val="004D7C53"/>
    <w:rsid w:val="004E4F56"/>
    <w:rsid w:val="004E51B5"/>
    <w:rsid w:val="004F0C55"/>
    <w:rsid w:val="004F18B2"/>
    <w:rsid w:val="004F276F"/>
    <w:rsid w:val="004F48E8"/>
    <w:rsid w:val="004F5264"/>
    <w:rsid w:val="004F529B"/>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180C"/>
    <w:rsid w:val="00542E3C"/>
    <w:rsid w:val="00543246"/>
    <w:rsid w:val="005439FC"/>
    <w:rsid w:val="00543A7C"/>
    <w:rsid w:val="00543D45"/>
    <w:rsid w:val="00544705"/>
    <w:rsid w:val="00545554"/>
    <w:rsid w:val="0054662E"/>
    <w:rsid w:val="0054680A"/>
    <w:rsid w:val="00546A27"/>
    <w:rsid w:val="00547B98"/>
    <w:rsid w:val="0055251F"/>
    <w:rsid w:val="005533CC"/>
    <w:rsid w:val="00553BB6"/>
    <w:rsid w:val="00554079"/>
    <w:rsid w:val="00554F39"/>
    <w:rsid w:val="0055593D"/>
    <w:rsid w:val="005576AE"/>
    <w:rsid w:val="00557CE2"/>
    <w:rsid w:val="00561537"/>
    <w:rsid w:val="00563224"/>
    <w:rsid w:val="00563432"/>
    <w:rsid w:val="005669FE"/>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6BF6"/>
    <w:rsid w:val="005870D5"/>
    <w:rsid w:val="00587FAE"/>
    <w:rsid w:val="005900AD"/>
    <w:rsid w:val="005923CF"/>
    <w:rsid w:val="00592CDE"/>
    <w:rsid w:val="005938A6"/>
    <w:rsid w:val="005946B7"/>
    <w:rsid w:val="00595185"/>
    <w:rsid w:val="005959E7"/>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39DF"/>
    <w:rsid w:val="005C4420"/>
    <w:rsid w:val="005C5681"/>
    <w:rsid w:val="005C6A1D"/>
    <w:rsid w:val="005C765C"/>
    <w:rsid w:val="005C7DF6"/>
    <w:rsid w:val="005D02C9"/>
    <w:rsid w:val="005D55BE"/>
    <w:rsid w:val="005D7CD4"/>
    <w:rsid w:val="005E0296"/>
    <w:rsid w:val="005E264E"/>
    <w:rsid w:val="005E293B"/>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0FF3"/>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87E91"/>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6B93"/>
    <w:rsid w:val="006B07E5"/>
    <w:rsid w:val="006B0C0B"/>
    <w:rsid w:val="006B1C4A"/>
    <w:rsid w:val="006B2C46"/>
    <w:rsid w:val="006B42B3"/>
    <w:rsid w:val="006B44AC"/>
    <w:rsid w:val="006B4FC8"/>
    <w:rsid w:val="006B5FB0"/>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4F0"/>
    <w:rsid w:val="007055F4"/>
    <w:rsid w:val="00705948"/>
    <w:rsid w:val="00705ADE"/>
    <w:rsid w:val="007066F4"/>
    <w:rsid w:val="00707D5E"/>
    <w:rsid w:val="00707F76"/>
    <w:rsid w:val="00711F61"/>
    <w:rsid w:val="007130D4"/>
    <w:rsid w:val="00714103"/>
    <w:rsid w:val="00714E43"/>
    <w:rsid w:val="00717C33"/>
    <w:rsid w:val="007201B1"/>
    <w:rsid w:val="00721638"/>
    <w:rsid w:val="0072238A"/>
    <w:rsid w:val="007245FC"/>
    <w:rsid w:val="007250B7"/>
    <w:rsid w:val="007274CB"/>
    <w:rsid w:val="0072785A"/>
    <w:rsid w:val="00730E27"/>
    <w:rsid w:val="007312A3"/>
    <w:rsid w:val="00732CCF"/>
    <w:rsid w:val="00732D3A"/>
    <w:rsid w:val="007335CD"/>
    <w:rsid w:val="00733903"/>
    <w:rsid w:val="0073394D"/>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579"/>
    <w:rsid w:val="00782ABB"/>
    <w:rsid w:val="00782B03"/>
    <w:rsid w:val="00783F69"/>
    <w:rsid w:val="0078610D"/>
    <w:rsid w:val="007866CF"/>
    <w:rsid w:val="00786AC9"/>
    <w:rsid w:val="00786EC4"/>
    <w:rsid w:val="00791ED5"/>
    <w:rsid w:val="00791F54"/>
    <w:rsid w:val="00792AC3"/>
    <w:rsid w:val="007936B2"/>
    <w:rsid w:val="007936C6"/>
    <w:rsid w:val="007939C4"/>
    <w:rsid w:val="00794D7C"/>
    <w:rsid w:val="00795F60"/>
    <w:rsid w:val="007963A0"/>
    <w:rsid w:val="00796DBC"/>
    <w:rsid w:val="007976D7"/>
    <w:rsid w:val="007A24F7"/>
    <w:rsid w:val="007A316E"/>
    <w:rsid w:val="007A426C"/>
    <w:rsid w:val="007A5090"/>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9DC"/>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0A8A"/>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DF3"/>
    <w:rsid w:val="00813E00"/>
    <w:rsid w:val="00815729"/>
    <w:rsid w:val="00815AAB"/>
    <w:rsid w:val="00816D92"/>
    <w:rsid w:val="00816F1B"/>
    <w:rsid w:val="00820D9F"/>
    <w:rsid w:val="00822032"/>
    <w:rsid w:val="00823795"/>
    <w:rsid w:val="008247E4"/>
    <w:rsid w:val="0082488A"/>
    <w:rsid w:val="0082674B"/>
    <w:rsid w:val="008273C0"/>
    <w:rsid w:val="0082767E"/>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398"/>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4306"/>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4DA6"/>
    <w:rsid w:val="008D5150"/>
    <w:rsid w:val="008D54CE"/>
    <w:rsid w:val="008D78E4"/>
    <w:rsid w:val="008E1EEF"/>
    <w:rsid w:val="008E3BCF"/>
    <w:rsid w:val="008E4B2E"/>
    <w:rsid w:val="008E540F"/>
    <w:rsid w:val="008E55CB"/>
    <w:rsid w:val="008E59EB"/>
    <w:rsid w:val="008E631C"/>
    <w:rsid w:val="008E6AE1"/>
    <w:rsid w:val="008E760C"/>
    <w:rsid w:val="008F27A6"/>
    <w:rsid w:val="008F31B3"/>
    <w:rsid w:val="008F32F0"/>
    <w:rsid w:val="008F520A"/>
    <w:rsid w:val="008F6A58"/>
    <w:rsid w:val="008F6F09"/>
    <w:rsid w:val="009007F6"/>
    <w:rsid w:val="00900BE0"/>
    <w:rsid w:val="0090170E"/>
    <w:rsid w:val="00901BF4"/>
    <w:rsid w:val="00901C62"/>
    <w:rsid w:val="00902595"/>
    <w:rsid w:val="0090264D"/>
    <w:rsid w:val="00903BD2"/>
    <w:rsid w:val="0090594A"/>
    <w:rsid w:val="00905C1A"/>
    <w:rsid w:val="00906E8B"/>
    <w:rsid w:val="009102B5"/>
    <w:rsid w:val="0091033D"/>
    <w:rsid w:val="00910760"/>
    <w:rsid w:val="009107D0"/>
    <w:rsid w:val="00911F20"/>
    <w:rsid w:val="009128F1"/>
    <w:rsid w:val="00912DDA"/>
    <w:rsid w:val="00913362"/>
    <w:rsid w:val="00913BB1"/>
    <w:rsid w:val="00913FA1"/>
    <w:rsid w:val="00914A85"/>
    <w:rsid w:val="00915243"/>
    <w:rsid w:val="0091613F"/>
    <w:rsid w:val="00916A78"/>
    <w:rsid w:val="009177A2"/>
    <w:rsid w:val="00917876"/>
    <w:rsid w:val="00920154"/>
    <w:rsid w:val="00921319"/>
    <w:rsid w:val="00921386"/>
    <w:rsid w:val="00926863"/>
    <w:rsid w:val="00926D7F"/>
    <w:rsid w:val="009307C9"/>
    <w:rsid w:val="0093086E"/>
    <w:rsid w:val="009315BB"/>
    <w:rsid w:val="00931F08"/>
    <w:rsid w:val="009320D7"/>
    <w:rsid w:val="00932230"/>
    <w:rsid w:val="0093344C"/>
    <w:rsid w:val="009338F2"/>
    <w:rsid w:val="00933F3C"/>
    <w:rsid w:val="00934657"/>
    <w:rsid w:val="009370E9"/>
    <w:rsid w:val="00937D9B"/>
    <w:rsid w:val="00940E65"/>
    <w:rsid w:val="0094115B"/>
    <w:rsid w:val="00942AA2"/>
    <w:rsid w:val="009458F4"/>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3DD3"/>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644"/>
    <w:rsid w:val="009D3783"/>
    <w:rsid w:val="009D43A7"/>
    <w:rsid w:val="009D5403"/>
    <w:rsid w:val="009D59A5"/>
    <w:rsid w:val="009D7337"/>
    <w:rsid w:val="009D7CB0"/>
    <w:rsid w:val="009E0E51"/>
    <w:rsid w:val="009E133B"/>
    <w:rsid w:val="009E1E61"/>
    <w:rsid w:val="009E21B4"/>
    <w:rsid w:val="009E3D96"/>
    <w:rsid w:val="009E40D3"/>
    <w:rsid w:val="009E4263"/>
    <w:rsid w:val="009E5F98"/>
    <w:rsid w:val="009E6317"/>
    <w:rsid w:val="009E7C10"/>
    <w:rsid w:val="009F3542"/>
    <w:rsid w:val="009F56B4"/>
    <w:rsid w:val="009F5822"/>
    <w:rsid w:val="009F65EB"/>
    <w:rsid w:val="009F676A"/>
    <w:rsid w:val="009F7316"/>
    <w:rsid w:val="00A02AF3"/>
    <w:rsid w:val="00A035AB"/>
    <w:rsid w:val="00A03F58"/>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23CC"/>
    <w:rsid w:val="00A33284"/>
    <w:rsid w:val="00A34E4A"/>
    <w:rsid w:val="00A35DA2"/>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3D6"/>
    <w:rsid w:val="00A84C61"/>
    <w:rsid w:val="00A8625C"/>
    <w:rsid w:val="00A86DFE"/>
    <w:rsid w:val="00A870CA"/>
    <w:rsid w:val="00A87442"/>
    <w:rsid w:val="00A90D91"/>
    <w:rsid w:val="00A93112"/>
    <w:rsid w:val="00A932DE"/>
    <w:rsid w:val="00A9656E"/>
    <w:rsid w:val="00A96AC6"/>
    <w:rsid w:val="00AA186B"/>
    <w:rsid w:val="00AA38F6"/>
    <w:rsid w:val="00AA4965"/>
    <w:rsid w:val="00AA6DDB"/>
    <w:rsid w:val="00AA72B8"/>
    <w:rsid w:val="00AB0830"/>
    <w:rsid w:val="00AB2CCC"/>
    <w:rsid w:val="00AB4F2C"/>
    <w:rsid w:val="00AB5772"/>
    <w:rsid w:val="00AB5A15"/>
    <w:rsid w:val="00AB64F8"/>
    <w:rsid w:val="00AC6ECF"/>
    <w:rsid w:val="00AC7B6B"/>
    <w:rsid w:val="00AD1216"/>
    <w:rsid w:val="00AD1BC7"/>
    <w:rsid w:val="00AD39EB"/>
    <w:rsid w:val="00AD4477"/>
    <w:rsid w:val="00AD4F51"/>
    <w:rsid w:val="00AD5285"/>
    <w:rsid w:val="00AD54D3"/>
    <w:rsid w:val="00AD70E0"/>
    <w:rsid w:val="00AE0028"/>
    <w:rsid w:val="00AE00FE"/>
    <w:rsid w:val="00AE0451"/>
    <w:rsid w:val="00AE0803"/>
    <w:rsid w:val="00AE0ADB"/>
    <w:rsid w:val="00AE2662"/>
    <w:rsid w:val="00AE3CBD"/>
    <w:rsid w:val="00AE3EFE"/>
    <w:rsid w:val="00AE514D"/>
    <w:rsid w:val="00AE5D21"/>
    <w:rsid w:val="00AE7C5F"/>
    <w:rsid w:val="00AF08A8"/>
    <w:rsid w:val="00AF0909"/>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89"/>
    <w:rsid w:val="00B17FBC"/>
    <w:rsid w:val="00B200F9"/>
    <w:rsid w:val="00B20D07"/>
    <w:rsid w:val="00B20D58"/>
    <w:rsid w:val="00B22535"/>
    <w:rsid w:val="00B2441D"/>
    <w:rsid w:val="00B24E10"/>
    <w:rsid w:val="00B25A6A"/>
    <w:rsid w:val="00B25E7E"/>
    <w:rsid w:val="00B2670C"/>
    <w:rsid w:val="00B277F4"/>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3587"/>
    <w:rsid w:val="00B65F11"/>
    <w:rsid w:val="00B673AC"/>
    <w:rsid w:val="00B6777F"/>
    <w:rsid w:val="00B720BA"/>
    <w:rsid w:val="00B733B0"/>
    <w:rsid w:val="00B741EC"/>
    <w:rsid w:val="00B745B3"/>
    <w:rsid w:val="00B74F7D"/>
    <w:rsid w:val="00B76EAD"/>
    <w:rsid w:val="00B802FC"/>
    <w:rsid w:val="00B80E01"/>
    <w:rsid w:val="00B81D1E"/>
    <w:rsid w:val="00B82E77"/>
    <w:rsid w:val="00B82FEF"/>
    <w:rsid w:val="00B84366"/>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AAE"/>
    <w:rsid w:val="00BA118E"/>
    <w:rsid w:val="00BA1D39"/>
    <w:rsid w:val="00BA3247"/>
    <w:rsid w:val="00BA4481"/>
    <w:rsid w:val="00BA4FFC"/>
    <w:rsid w:val="00BA5207"/>
    <w:rsid w:val="00BA5A30"/>
    <w:rsid w:val="00BA6260"/>
    <w:rsid w:val="00BA62BE"/>
    <w:rsid w:val="00BA64B9"/>
    <w:rsid w:val="00BA68B5"/>
    <w:rsid w:val="00BA6901"/>
    <w:rsid w:val="00BA72DC"/>
    <w:rsid w:val="00BA76F5"/>
    <w:rsid w:val="00BA7960"/>
    <w:rsid w:val="00BA7F63"/>
    <w:rsid w:val="00BB017D"/>
    <w:rsid w:val="00BB0CCF"/>
    <w:rsid w:val="00BB3989"/>
    <w:rsid w:val="00BB44CD"/>
    <w:rsid w:val="00BB58AA"/>
    <w:rsid w:val="00BB667C"/>
    <w:rsid w:val="00BB787E"/>
    <w:rsid w:val="00BB7964"/>
    <w:rsid w:val="00BC0309"/>
    <w:rsid w:val="00BC1037"/>
    <w:rsid w:val="00BC2F0B"/>
    <w:rsid w:val="00BC3206"/>
    <w:rsid w:val="00BC4832"/>
    <w:rsid w:val="00BC5451"/>
    <w:rsid w:val="00BC5744"/>
    <w:rsid w:val="00BC5B8A"/>
    <w:rsid w:val="00BD1613"/>
    <w:rsid w:val="00BD3AB4"/>
    <w:rsid w:val="00BD5783"/>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4BCE"/>
    <w:rsid w:val="00C16C64"/>
    <w:rsid w:val="00C173CD"/>
    <w:rsid w:val="00C17CC6"/>
    <w:rsid w:val="00C20109"/>
    <w:rsid w:val="00C20FC8"/>
    <w:rsid w:val="00C227D5"/>
    <w:rsid w:val="00C228DF"/>
    <w:rsid w:val="00C2454C"/>
    <w:rsid w:val="00C25F98"/>
    <w:rsid w:val="00C26867"/>
    <w:rsid w:val="00C27879"/>
    <w:rsid w:val="00C30240"/>
    <w:rsid w:val="00C3135C"/>
    <w:rsid w:val="00C31E4A"/>
    <w:rsid w:val="00C3244D"/>
    <w:rsid w:val="00C33102"/>
    <w:rsid w:val="00C3337E"/>
    <w:rsid w:val="00C34977"/>
    <w:rsid w:val="00C352FA"/>
    <w:rsid w:val="00C35794"/>
    <w:rsid w:val="00C359BD"/>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741"/>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331"/>
    <w:rsid w:val="00C76B74"/>
    <w:rsid w:val="00C81DE5"/>
    <w:rsid w:val="00C82860"/>
    <w:rsid w:val="00C837C9"/>
    <w:rsid w:val="00C8396C"/>
    <w:rsid w:val="00C84F1D"/>
    <w:rsid w:val="00C85DD9"/>
    <w:rsid w:val="00C85F5A"/>
    <w:rsid w:val="00C8618D"/>
    <w:rsid w:val="00C86ADF"/>
    <w:rsid w:val="00C870C0"/>
    <w:rsid w:val="00C91438"/>
    <w:rsid w:val="00C93AD3"/>
    <w:rsid w:val="00C93F42"/>
    <w:rsid w:val="00C9418B"/>
    <w:rsid w:val="00C95D67"/>
    <w:rsid w:val="00C97222"/>
    <w:rsid w:val="00CA0DAE"/>
    <w:rsid w:val="00CA0E49"/>
    <w:rsid w:val="00CA1535"/>
    <w:rsid w:val="00CA2851"/>
    <w:rsid w:val="00CA5087"/>
    <w:rsid w:val="00CA58EE"/>
    <w:rsid w:val="00CA7EEF"/>
    <w:rsid w:val="00CB1649"/>
    <w:rsid w:val="00CB179D"/>
    <w:rsid w:val="00CB3E5E"/>
    <w:rsid w:val="00CB448C"/>
    <w:rsid w:val="00CB4EBD"/>
    <w:rsid w:val="00CB6338"/>
    <w:rsid w:val="00CB76AA"/>
    <w:rsid w:val="00CB790E"/>
    <w:rsid w:val="00CC1407"/>
    <w:rsid w:val="00CC450D"/>
    <w:rsid w:val="00CC4B25"/>
    <w:rsid w:val="00CC4FFC"/>
    <w:rsid w:val="00CC5328"/>
    <w:rsid w:val="00CC700E"/>
    <w:rsid w:val="00CC77F9"/>
    <w:rsid w:val="00CC7CC0"/>
    <w:rsid w:val="00CD0735"/>
    <w:rsid w:val="00CD3D23"/>
    <w:rsid w:val="00CD42E0"/>
    <w:rsid w:val="00CD5322"/>
    <w:rsid w:val="00CD554A"/>
    <w:rsid w:val="00CD5934"/>
    <w:rsid w:val="00CD5F3D"/>
    <w:rsid w:val="00CD61C8"/>
    <w:rsid w:val="00CD6B26"/>
    <w:rsid w:val="00CD6DAC"/>
    <w:rsid w:val="00CE0CAF"/>
    <w:rsid w:val="00CE46AE"/>
    <w:rsid w:val="00CE6394"/>
    <w:rsid w:val="00CE7940"/>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0FF"/>
    <w:rsid w:val="00D46116"/>
    <w:rsid w:val="00D46297"/>
    <w:rsid w:val="00D4693D"/>
    <w:rsid w:val="00D46B07"/>
    <w:rsid w:val="00D47404"/>
    <w:rsid w:val="00D510DA"/>
    <w:rsid w:val="00D53F8D"/>
    <w:rsid w:val="00D547E6"/>
    <w:rsid w:val="00D56EA7"/>
    <w:rsid w:val="00D57AD5"/>
    <w:rsid w:val="00D6003F"/>
    <w:rsid w:val="00D60275"/>
    <w:rsid w:val="00D61E9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3F5F"/>
    <w:rsid w:val="00D94180"/>
    <w:rsid w:val="00D9431B"/>
    <w:rsid w:val="00D95B33"/>
    <w:rsid w:val="00D964E4"/>
    <w:rsid w:val="00D97224"/>
    <w:rsid w:val="00D978E4"/>
    <w:rsid w:val="00DA0910"/>
    <w:rsid w:val="00DA1743"/>
    <w:rsid w:val="00DA1E8C"/>
    <w:rsid w:val="00DA2273"/>
    <w:rsid w:val="00DA3B49"/>
    <w:rsid w:val="00DA416F"/>
    <w:rsid w:val="00DA420C"/>
    <w:rsid w:val="00DA62F2"/>
    <w:rsid w:val="00DA63F5"/>
    <w:rsid w:val="00DA6F09"/>
    <w:rsid w:val="00DA7A9F"/>
    <w:rsid w:val="00DB02EB"/>
    <w:rsid w:val="00DB1960"/>
    <w:rsid w:val="00DB1E72"/>
    <w:rsid w:val="00DB2C4B"/>
    <w:rsid w:val="00DB2CAA"/>
    <w:rsid w:val="00DB4C6F"/>
    <w:rsid w:val="00DB5CA9"/>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3EAC"/>
    <w:rsid w:val="00DD3ED9"/>
    <w:rsid w:val="00DD4AEB"/>
    <w:rsid w:val="00DD694D"/>
    <w:rsid w:val="00DD72BD"/>
    <w:rsid w:val="00DD761B"/>
    <w:rsid w:val="00DE0079"/>
    <w:rsid w:val="00DE0517"/>
    <w:rsid w:val="00DE11DA"/>
    <w:rsid w:val="00DE3DC0"/>
    <w:rsid w:val="00DE5A98"/>
    <w:rsid w:val="00DE78F0"/>
    <w:rsid w:val="00DF001D"/>
    <w:rsid w:val="00DF0A3C"/>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6C69"/>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4645C"/>
    <w:rsid w:val="00E50761"/>
    <w:rsid w:val="00E509D9"/>
    <w:rsid w:val="00E50B13"/>
    <w:rsid w:val="00E51B16"/>
    <w:rsid w:val="00E554A3"/>
    <w:rsid w:val="00E56917"/>
    <w:rsid w:val="00E573C2"/>
    <w:rsid w:val="00E579FC"/>
    <w:rsid w:val="00E603D8"/>
    <w:rsid w:val="00E60CA5"/>
    <w:rsid w:val="00E61CD6"/>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776B3"/>
    <w:rsid w:val="00E81727"/>
    <w:rsid w:val="00E81794"/>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406"/>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344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2643"/>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71C"/>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8E4"/>
    <w:rsid w:val="00F511CC"/>
    <w:rsid w:val="00F51334"/>
    <w:rsid w:val="00F5203B"/>
    <w:rsid w:val="00F526AD"/>
    <w:rsid w:val="00F527B7"/>
    <w:rsid w:val="00F52E73"/>
    <w:rsid w:val="00F52F6F"/>
    <w:rsid w:val="00F53828"/>
    <w:rsid w:val="00F5517E"/>
    <w:rsid w:val="00F60A2D"/>
    <w:rsid w:val="00F60B38"/>
    <w:rsid w:val="00F6108E"/>
    <w:rsid w:val="00F61CB7"/>
    <w:rsid w:val="00F62028"/>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5D8"/>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0AE"/>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medium.com/@ThistlePraxis/nsbp-five-years-after-d90719ebf2a1"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proshare.co/articles/sustainable-banking-as-a-driver-for-growth-a-survey-of-nigerian-banks?menu=Economy&amp;classification=Read&amp;category=Opinions%20and%20Analysi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www.globalreporting.org"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ww.cbn.gov.ng/out/2012/ccd/circular-nsbp.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bis.org/fsi/fsibriefs18.pdf"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113</Pages>
  <Words>23435</Words>
  <Characters>133585</Characters>
  <Application>Microsoft Office Word</Application>
  <DocSecurity>0</DocSecurity>
  <Lines>1113</Lines>
  <Paragraphs>313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156707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51</cp:revision>
  <cp:lastPrinted>2025-03-21T00:14:00Z</cp:lastPrinted>
  <dcterms:created xsi:type="dcterms:W3CDTF">2025-07-27T12:44:00Z</dcterms:created>
  <dcterms:modified xsi:type="dcterms:W3CDTF">2025-08-04T04:20:00Z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5eab146f-d6f9-4483-84a7-274aab172831</vt:lpwstr>
  </property>
</Properties>
</file>